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D4327" w14:textId="2DE57CEA" w:rsidR="00C35CA5" w:rsidRDefault="00000000" w:rsidP="00240E76">
      <w:pPr>
        <w:pStyle w:val="Heading1notincontents"/>
      </w:pPr>
      <w:r>
        <w:t xml:space="preserve">Data </w:t>
      </w:r>
      <w:r w:rsidR="00EA4886">
        <w:t>Retention Schedule</w:t>
      </w:r>
    </w:p>
    <w:tbl>
      <w:tblPr>
        <w:tblStyle w:val="TableGrid"/>
        <w:tblW w:w="0" w:type="auto"/>
        <w:tblCellMar>
          <w:top w:w="113" w:type="dxa"/>
          <w:bottom w:w="113" w:type="dxa"/>
        </w:tblCellMar>
        <w:tblLook w:val="04A0" w:firstRow="1" w:lastRow="0" w:firstColumn="1" w:lastColumn="0" w:noHBand="0" w:noVBand="1"/>
      </w:tblPr>
      <w:tblGrid>
        <w:gridCol w:w="2135"/>
        <w:gridCol w:w="2422"/>
        <w:gridCol w:w="2552"/>
        <w:gridCol w:w="2519"/>
      </w:tblGrid>
      <w:tr w:rsidR="00EA4886" w14:paraId="2DBB9BF5" w14:textId="77777777" w:rsidTr="008F71E9">
        <w:tc>
          <w:tcPr>
            <w:tcW w:w="2135" w:type="dxa"/>
            <w:tcBorders>
              <w:bottom w:val="single" w:sz="4" w:space="0" w:color="auto"/>
            </w:tcBorders>
            <w:vAlign w:val="center"/>
          </w:tcPr>
          <w:p w14:paraId="19ED19F8" w14:textId="77777777" w:rsidR="00EA4886" w:rsidRPr="00854D15" w:rsidRDefault="00EA4886" w:rsidP="00854D15">
            <w:pPr>
              <w:pStyle w:val="NoSpacing"/>
              <w:autoSpaceDN w:val="0"/>
              <w:spacing w:line="240" w:lineRule="auto"/>
              <w:jc w:val="center"/>
              <w:rPr>
                <w:rFonts w:ascii="Calibri" w:eastAsia="Calibri" w:hAnsi="Calibri" w:cs="Calibri"/>
                <w:b/>
                <w:bCs/>
                <w:kern w:val="0"/>
                <w:sz w:val="24"/>
                <w:szCs w:val="24"/>
                <w14:ligatures w14:val="none"/>
              </w:rPr>
            </w:pPr>
            <w:r w:rsidRPr="00854D15">
              <w:rPr>
                <w:rFonts w:ascii="Calibri" w:eastAsia="Calibri" w:hAnsi="Calibri" w:cs="Calibri"/>
                <w:b/>
                <w:bCs/>
                <w:kern w:val="0"/>
                <w:sz w:val="24"/>
                <w:szCs w:val="24"/>
                <w14:ligatures w14:val="none"/>
              </w:rPr>
              <w:t>Area</w:t>
            </w:r>
          </w:p>
        </w:tc>
        <w:tc>
          <w:tcPr>
            <w:tcW w:w="2422" w:type="dxa"/>
            <w:tcBorders>
              <w:bottom w:val="single" w:sz="4" w:space="0" w:color="auto"/>
            </w:tcBorders>
            <w:vAlign w:val="center"/>
          </w:tcPr>
          <w:p w14:paraId="3809EDED" w14:textId="77777777" w:rsidR="00EA4886" w:rsidRPr="00854D15" w:rsidRDefault="00EA4886" w:rsidP="00EA4886">
            <w:pPr>
              <w:pStyle w:val="NoSpacing"/>
              <w:autoSpaceDN w:val="0"/>
              <w:spacing w:line="240" w:lineRule="auto"/>
              <w:jc w:val="center"/>
              <w:rPr>
                <w:rFonts w:ascii="Calibri" w:eastAsia="Calibri" w:hAnsi="Calibri" w:cs="Calibri"/>
                <w:b/>
                <w:bCs/>
                <w:kern w:val="0"/>
                <w:sz w:val="24"/>
                <w:szCs w:val="24"/>
                <w14:ligatures w14:val="none"/>
              </w:rPr>
            </w:pPr>
            <w:r w:rsidRPr="00854D15">
              <w:rPr>
                <w:rFonts w:ascii="Calibri" w:eastAsia="Calibri" w:hAnsi="Calibri" w:cs="Calibri"/>
                <w:b/>
                <w:bCs/>
                <w:kern w:val="0"/>
                <w:sz w:val="24"/>
                <w:szCs w:val="24"/>
                <w14:ligatures w14:val="none"/>
              </w:rPr>
              <w:t>Documents</w:t>
            </w:r>
          </w:p>
        </w:tc>
        <w:tc>
          <w:tcPr>
            <w:tcW w:w="2552" w:type="dxa"/>
            <w:tcBorders>
              <w:bottom w:val="single" w:sz="4" w:space="0" w:color="auto"/>
            </w:tcBorders>
            <w:vAlign w:val="center"/>
          </w:tcPr>
          <w:p w14:paraId="1A0F7DE9" w14:textId="77777777" w:rsidR="00151419" w:rsidRDefault="00EA4886" w:rsidP="00EA4886">
            <w:pPr>
              <w:pStyle w:val="NoSpacing"/>
              <w:autoSpaceDN w:val="0"/>
              <w:spacing w:line="240" w:lineRule="auto"/>
              <w:jc w:val="center"/>
              <w:rPr>
                <w:rFonts w:ascii="Calibri" w:eastAsia="Calibri" w:hAnsi="Calibri" w:cs="Calibri"/>
                <w:b/>
                <w:bCs/>
                <w:kern w:val="0"/>
                <w:sz w:val="24"/>
                <w:szCs w:val="24"/>
                <w14:ligatures w14:val="none"/>
              </w:rPr>
            </w:pPr>
            <w:r w:rsidRPr="00854D15">
              <w:rPr>
                <w:rFonts w:ascii="Calibri" w:eastAsia="Calibri" w:hAnsi="Calibri" w:cs="Calibri"/>
                <w:b/>
                <w:bCs/>
                <w:kern w:val="0"/>
                <w:sz w:val="24"/>
                <w:szCs w:val="24"/>
                <w14:ligatures w14:val="none"/>
              </w:rPr>
              <w:t>Retention</w:t>
            </w:r>
          </w:p>
          <w:p w14:paraId="6FF964BA" w14:textId="75F383AD" w:rsidR="00EA4886" w:rsidRPr="00854D15" w:rsidRDefault="00EA4886" w:rsidP="00EA4886">
            <w:pPr>
              <w:pStyle w:val="NoSpacing"/>
              <w:autoSpaceDN w:val="0"/>
              <w:spacing w:line="240" w:lineRule="auto"/>
              <w:jc w:val="center"/>
              <w:rPr>
                <w:rFonts w:ascii="Calibri" w:eastAsia="Calibri" w:hAnsi="Calibri" w:cs="Calibri"/>
                <w:b/>
                <w:bCs/>
                <w:kern w:val="0"/>
                <w:sz w:val="24"/>
                <w:szCs w:val="24"/>
                <w14:ligatures w14:val="none"/>
              </w:rPr>
            </w:pPr>
            <w:r w:rsidRPr="00854D15">
              <w:rPr>
                <w:rFonts w:ascii="Calibri" w:eastAsia="Calibri" w:hAnsi="Calibri" w:cs="Calibri"/>
                <w:b/>
                <w:bCs/>
                <w:kern w:val="0"/>
                <w:sz w:val="24"/>
                <w:szCs w:val="24"/>
                <w14:ligatures w14:val="none"/>
              </w:rPr>
              <w:t>period</w:t>
            </w:r>
          </w:p>
        </w:tc>
        <w:tc>
          <w:tcPr>
            <w:tcW w:w="2519" w:type="dxa"/>
            <w:tcBorders>
              <w:bottom w:val="single" w:sz="4" w:space="0" w:color="auto"/>
            </w:tcBorders>
            <w:vAlign w:val="center"/>
          </w:tcPr>
          <w:p w14:paraId="27F96664" w14:textId="77777777" w:rsidR="00EC21AE" w:rsidRDefault="00EA4886" w:rsidP="00EA4886">
            <w:pPr>
              <w:pStyle w:val="NoSpacing"/>
              <w:autoSpaceDN w:val="0"/>
              <w:spacing w:line="240" w:lineRule="auto"/>
              <w:jc w:val="center"/>
              <w:rPr>
                <w:rFonts w:ascii="Calibri" w:eastAsia="Calibri" w:hAnsi="Calibri" w:cs="Calibri"/>
                <w:b/>
                <w:bCs/>
                <w:kern w:val="0"/>
                <w:sz w:val="24"/>
                <w:szCs w:val="24"/>
                <w14:ligatures w14:val="none"/>
              </w:rPr>
            </w:pPr>
            <w:r w:rsidRPr="00854D15">
              <w:rPr>
                <w:rFonts w:ascii="Calibri" w:eastAsia="Calibri" w:hAnsi="Calibri" w:cs="Calibri"/>
                <w:b/>
                <w:bCs/>
                <w:kern w:val="0"/>
                <w:sz w:val="24"/>
                <w:szCs w:val="24"/>
                <w14:ligatures w14:val="none"/>
              </w:rPr>
              <w:t xml:space="preserve">Reason for </w:t>
            </w:r>
          </w:p>
          <w:p w14:paraId="4D9A2649" w14:textId="44E889C0" w:rsidR="00EA4886" w:rsidRPr="00854D15" w:rsidRDefault="00EA4886" w:rsidP="00EA4886">
            <w:pPr>
              <w:pStyle w:val="NoSpacing"/>
              <w:autoSpaceDN w:val="0"/>
              <w:spacing w:line="240" w:lineRule="auto"/>
              <w:jc w:val="center"/>
              <w:rPr>
                <w:rFonts w:ascii="Calibri" w:eastAsia="Calibri" w:hAnsi="Calibri" w:cs="Calibri"/>
                <w:b/>
                <w:bCs/>
                <w:kern w:val="0"/>
                <w:sz w:val="24"/>
                <w:szCs w:val="24"/>
                <w14:ligatures w14:val="none"/>
              </w:rPr>
            </w:pPr>
            <w:r w:rsidRPr="00854D15">
              <w:rPr>
                <w:rFonts w:ascii="Calibri" w:eastAsia="Calibri" w:hAnsi="Calibri" w:cs="Calibri"/>
                <w:b/>
                <w:bCs/>
                <w:kern w:val="0"/>
                <w:sz w:val="24"/>
                <w:szCs w:val="24"/>
                <w14:ligatures w14:val="none"/>
              </w:rPr>
              <w:t>retention period</w:t>
            </w:r>
          </w:p>
        </w:tc>
      </w:tr>
      <w:tr w:rsidR="00E12DCD" w14:paraId="60CCB9C6" w14:textId="77777777" w:rsidTr="008F71E9">
        <w:tc>
          <w:tcPr>
            <w:tcW w:w="2135" w:type="dxa"/>
            <w:tcBorders>
              <w:bottom w:val="single" w:sz="4" w:space="0" w:color="auto"/>
              <w:right w:val="nil"/>
            </w:tcBorders>
            <w:shd w:val="clear" w:color="auto" w:fill="77206D" w:themeFill="accent5" w:themeFillShade="BF"/>
          </w:tcPr>
          <w:p w14:paraId="47FB3A3D" w14:textId="42B6A132" w:rsidR="00E12DCD" w:rsidRPr="00854D15" w:rsidRDefault="00E12DCD" w:rsidP="00854D15">
            <w:pPr>
              <w:pStyle w:val="NoSpacing"/>
              <w:jc w:val="center"/>
              <w:rPr>
                <w:rFonts w:cs="Calibri"/>
                <w:b/>
                <w:bCs/>
                <w:color w:val="FFFFFF" w:themeColor="background1"/>
                <w:sz w:val="24"/>
                <w:szCs w:val="24"/>
              </w:rPr>
            </w:pPr>
            <w:r w:rsidRPr="00854D15">
              <w:rPr>
                <w:rFonts w:ascii="Calibri" w:hAnsi="Calibri" w:cs="Calibri"/>
                <w:b/>
                <w:bCs/>
                <w:color w:val="FFFFFF" w:themeColor="background1"/>
                <w:sz w:val="24"/>
                <w:szCs w:val="24"/>
              </w:rPr>
              <w:t>General</w:t>
            </w:r>
          </w:p>
        </w:tc>
        <w:tc>
          <w:tcPr>
            <w:tcW w:w="2422" w:type="dxa"/>
            <w:tcBorders>
              <w:left w:val="nil"/>
              <w:right w:val="nil"/>
            </w:tcBorders>
            <w:shd w:val="clear" w:color="auto" w:fill="77206D" w:themeFill="accent5" w:themeFillShade="BF"/>
          </w:tcPr>
          <w:p w14:paraId="0BF60F54" w14:textId="77777777" w:rsidR="00E12DCD" w:rsidRPr="00854D15" w:rsidRDefault="00E12DCD" w:rsidP="00EA4886">
            <w:pPr>
              <w:pStyle w:val="NoSpacing"/>
              <w:rPr>
                <w:rFonts w:cs="Calibri"/>
                <w:sz w:val="20"/>
                <w:szCs w:val="20"/>
              </w:rPr>
            </w:pPr>
          </w:p>
        </w:tc>
        <w:tc>
          <w:tcPr>
            <w:tcW w:w="2552" w:type="dxa"/>
            <w:tcBorders>
              <w:left w:val="nil"/>
              <w:right w:val="nil"/>
            </w:tcBorders>
            <w:shd w:val="clear" w:color="auto" w:fill="77206D" w:themeFill="accent5" w:themeFillShade="BF"/>
          </w:tcPr>
          <w:p w14:paraId="79B6C2D5" w14:textId="77777777" w:rsidR="00E12DCD" w:rsidRPr="00854D15" w:rsidRDefault="00E12DCD" w:rsidP="00EA4886">
            <w:pPr>
              <w:pStyle w:val="NoSpacing"/>
              <w:rPr>
                <w:rFonts w:cs="Calibri"/>
                <w:sz w:val="20"/>
                <w:szCs w:val="20"/>
              </w:rPr>
            </w:pPr>
          </w:p>
        </w:tc>
        <w:tc>
          <w:tcPr>
            <w:tcW w:w="2519" w:type="dxa"/>
            <w:tcBorders>
              <w:left w:val="nil"/>
            </w:tcBorders>
            <w:shd w:val="clear" w:color="auto" w:fill="77206D" w:themeFill="accent5" w:themeFillShade="BF"/>
          </w:tcPr>
          <w:p w14:paraId="735D63DB" w14:textId="77777777" w:rsidR="00E12DCD" w:rsidRPr="00854D15" w:rsidRDefault="00E12DCD" w:rsidP="00EA4886">
            <w:pPr>
              <w:pStyle w:val="NoSpacing"/>
              <w:rPr>
                <w:rFonts w:cs="Calibri"/>
                <w:sz w:val="20"/>
                <w:szCs w:val="20"/>
              </w:rPr>
            </w:pPr>
          </w:p>
        </w:tc>
      </w:tr>
      <w:tr w:rsidR="00EA4886" w14:paraId="26FD2C74" w14:textId="77777777" w:rsidTr="008F71E9">
        <w:tc>
          <w:tcPr>
            <w:tcW w:w="2135" w:type="dxa"/>
            <w:tcBorders>
              <w:left w:val="nil"/>
              <w:bottom w:val="single" w:sz="4" w:space="0" w:color="auto"/>
            </w:tcBorders>
            <w:shd w:val="clear" w:color="auto" w:fill="auto"/>
          </w:tcPr>
          <w:p w14:paraId="4C021F21" w14:textId="4CAA777C"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bottom w:val="single" w:sz="4" w:space="0" w:color="auto"/>
            </w:tcBorders>
          </w:tcPr>
          <w:p w14:paraId="08711786"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Emails and other correspondence</w:t>
            </w:r>
          </w:p>
        </w:tc>
        <w:tc>
          <w:tcPr>
            <w:tcW w:w="2552" w:type="dxa"/>
            <w:tcBorders>
              <w:bottom w:val="single" w:sz="4" w:space="0" w:color="auto"/>
            </w:tcBorders>
          </w:tcPr>
          <w:p w14:paraId="75A01DAF"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No longer than necessary.</w:t>
            </w:r>
          </w:p>
          <w:p w14:paraId="1A9FB0A6"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Many churches set a fixed retention period of 2 years – most email systems allow for this to be automated</w:t>
            </w:r>
          </w:p>
        </w:tc>
        <w:tc>
          <w:tcPr>
            <w:tcW w:w="2519" w:type="dxa"/>
            <w:tcBorders>
              <w:bottom w:val="single" w:sz="4" w:space="0" w:color="auto"/>
            </w:tcBorders>
          </w:tcPr>
          <w:p w14:paraId="7B487D55" w14:textId="15C71264"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 xml:space="preserve">Data </w:t>
            </w:r>
            <w:r w:rsidR="00877C2E">
              <w:rPr>
                <w:rFonts w:ascii="Calibri" w:eastAsia="Calibri" w:hAnsi="Calibri" w:cs="Calibri"/>
                <w:kern w:val="0"/>
                <w:sz w:val="20"/>
                <w:szCs w:val="20"/>
                <w14:ligatures w14:val="none"/>
              </w:rPr>
              <w:t>P</w:t>
            </w:r>
            <w:r w:rsidRPr="00854D15">
              <w:rPr>
                <w:rFonts w:ascii="Calibri" w:eastAsia="Calibri" w:hAnsi="Calibri" w:cs="Calibri"/>
                <w:kern w:val="0"/>
                <w:sz w:val="20"/>
                <w:szCs w:val="20"/>
                <w14:ligatures w14:val="none"/>
              </w:rPr>
              <w:t>rotection Act</w:t>
            </w:r>
          </w:p>
        </w:tc>
      </w:tr>
      <w:tr w:rsidR="00B177C3" w14:paraId="02B877E6" w14:textId="77777777" w:rsidTr="008F71E9">
        <w:tc>
          <w:tcPr>
            <w:tcW w:w="2135" w:type="dxa"/>
            <w:tcBorders>
              <w:bottom w:val="single" w:sz="4" w:space="0" w:color="auto"/>
              <w:right w:val="nil"/>
            </w:tcBorders>
            <w:shd w:val="clear" w:color="auto" w:fill="77206D" w:themeFill="accent5" w:themeFillShade="BF"/>
          </w:tcPr>
          <w:p w14:paraId="0E6999BF" w14:textId="4A47F8C8" w:rsidR="00B177C3" w:rsidRPr="00854D15" w:rsidRDefault="00B177C3" w:rsidP="008F71E9">
            <w:pPr>
              <w:pStyle w:val="NoSpacing"/>
              <w:spacing w:line="240" w:lineRule="auto"/>
              <w:jc w:val="center"/>
              <w:rPr>
                <w:rFonts w:cs="Calibri"/>
                <w:b/>
                <w:bCs/>
                <w:sz w:val="24"/>
                <w:szCs w:val="24"/>
              </w:rPr>
            </w:pPr>
            <w:r w:rsidRPr="008F71E9">
              <w:rPr>
                <w:rFonts w:ascii="Calibri" w:eastAsia="Calibri" w:hAnsi="Calibri" w:cs="Calibri"/>
                <w:b/>
                <w:bCs/>
                <w:color w:val="FFFFFF" w:themeColor="background1"/>
                <w:kern w:val="0"/>
                <w:sz w:val="24"/>
                <w:szCs w:val="24"/>
                <w14:ligatures w14:val="none"/>
              </w:rPr>
              <w:t>Governance records</w:t>
            </w:r>
          </w:p>
        </w:tc>
        <w:tc>
          <w:tcPr>
            <w:tcW w:w="2422" w:type="dxa"/>
            <w:tcBorders>
              <w:left w:val="nil"/>
              <w:right w:val="nil"/>
            </w:tcBorders>
            <w:shd w:val="clear" w:color="auto" w:fill="77206D" w:themeFill="accent5" w:themeFillShade="BF"/>
          </w:tcPr>
          <w:p w14:paraId="043BECA9" w14:textId="77777777" w:rsidR="00B177C3" w:rsidRPr="00854D15" w:rsidRDefault="00B177C3" w:rsidP="008F71E9">
            <w:pPr>
              <w:pStyle w:val="NoSpacing"/>
              <w:spacing w:line="240" w:lineRule="auto"/>
              <w:rPr>
                <w:rFonts w:cs="Calibri"/>
                <w:sz w:val="20"/>
                <w:szCs w:val="20"/>
              </w:rPr>
            </w:pPr>
          </w:p>
        </w:tc>
        <w:tc>
          <w:tcPr>
            <w:tcW w:w="2552" w:type="dxa"/>
            <w:tcBorders>
              <w:left w:val="nil"/>
              <w:right w:val="nil"/>
            </w:tcBorders>
            <w:shd w:val="clear" w:color="auto" w:fill="77206D" w:themeFill="accent5" w:themeFillShade="BF"/>
          </w:tcPr>
          <w:p w14:paraId="09F2D2AF" w14:textId="77777777" w:rsidR="00B177C3" w:rsidRPr="00854D15" w:rsidRDefault="00B177C3" w:rsidP="008F71E9">
            <w:pPr>
              <w:pStyle w:val="NoSpacing"/>
              <w:spacing w:line="240" w:lineRule="auto"/>
              <w:rPr>
                <w:rFonts w:cs="Calibri"/>
                <w:sz w:val="20"/>
                <w:szCs w:val="20"/>
              </w:rPr>
            </w:pPr>
          </w:p>
        </w:tc>
        <w:tc>
          <w:tcPr>
            <w:tcW w:w="2519" w:type="dxa"/>
            <w:tcBorders>
              <w:left w:val="nil"/>
            </w:tcBorders>
            <w:shd w:val="clear" w:color="auto" w:fill="77206D" w:themeFill="accent5" w:themeFillShade="BF"/>
          </w:tcPr>
          <w:p w14:paraId="43893B65" w14:textId="77777777" w:rsidR="00B177C3" w:rsidRPr="00854D15" w:rsidRDefault="00B177C3" w:rsidP="008F71E9">
            <w:pPr>
              <w:pStyle w:val="NoSpacing"/>
              <w:spacing w:line="240" w:lineRule="auto"/>
              <w:rPr>
                <w:rFonts w:cs="Calibri"/>
                <w:sz w:val="20"/>
                <w:szCs w:val="20"/>
              </w:rPr>
            </w:pPr>
          </w:p>
        </w:tc>
      </w:tr>
      <w:tr w:rsidR="00854D15" w14:paraId="6A86BC72" w14:textId="77777777" w:rsidTr="00B177C3">
        <w:tc>
          <w:tcPr>
            <w:tcW w:w="2135" w:type="dxa"/>
            <w:vMerge w:val="restart"/>
            <w:tcBorders>
              <w:left w:val="nil"/>
            </w:tcBorders>
            <w:shd w:val="clear" w:color="auto" w:fill="auto"/>
          </w:tcPr>
          <w:p w14:paraId="5685033F" w14:textId="19115DCB" w:rsidR="00854D15" w:rsidRPr="00854D15" w:rsidRDefault="00854D15" w:rsidP="00854D15">
            <w:pPr>
              <w:pStyle w:val="NoSpacing"/>
              <w:autoSpaceDN w:val="0"/>
              <w:jc w:val="center"/>
              <w:rPr>
                <w:rFonts w:ascii="Calibri" w:eastAsia="Calibri" w:hAnsi="Calibri" w:cs="Calibri"/>
                <w:b/>
                <w:bCs/>
                <w:kern w:val="0"/>
                <w:sz w:val="24"/>
                <w:szCs w:val="24"/>
                <w14:ligatures w14:val="none"/>
              </w:rPr>
            </w:pPr>
          </w:p>
        </w:tc>
        <w:tc>
          <w:tcPr>
            <w:tcW w:w="2422" w:type="dxa"/>
          </w:tcPr>
          <w:p w14:paraId="47DA5B35"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Governing documents</w:t>
            </w:r>
          </w:p>
          <w:p w14:paraId="1EE9D97F"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Constitution / Trust Deed / Church Rules</w:t>
            </w:r>
          </w:p>
        </w:tc>
        <w:tc>
          <w:tcPr>
            <w:tcW w:w="2552" w:type="dxa"/>
          </w:tcPr>
          <w:p w14:paraId="0C499D6E"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Permanently</w:t>
            </w:r>
          </w:p>
        </w:tc>
        <w:tc>
          <w:tcPr>
            <w:tcW w:w="2519" w:type="dxa"/>
          </w:tcPr>
          <w:p w14:paraId="7F293297" w14:textId="77777777" w:rsidR="00854D15" w:rsidRPr="00854D15" w:rsidRDefault="00854D15" w:rsidP="00EA4886">
            <w:pPr>
              <w:pStyle w:val="NoSpacing"/>
              <w:autoSpaceDN w:val="0"/>
              <w:rPr>
                <w:rFonts w:ascii="Calibri" w:eastAsia="Calibri" w:hAnsi="Calibri" w:cs="Calibri"/>
                <w:kern w:val="0"/>
                <w:sz w:val="20"/>
                <w:szCs w:val="20"/>
                <w14:ligatures w14:val="none"/>
              </w:rPr>
            </w:pPr>
          </w:p>
        </w:tc>
      </w:tr>
      <w:tr w:rsidR="00854D15" w14:paraId="49F5AE97" w14:textId="77777777" w:rsidTr="00B177C3">
        <w:tc>
          <w:tcPr>
            <w:tcW w:w="2135" w:type="dxa"/>
            <w:vMerge/>
            <w:tcBorders>
              <w:left w:val="nil"/>
            </w:tcBorders>
            <w:shd w:val="clear" w:color="auto" w:fill="auto"/>
          </w:tcPr>
          <w:p w14:paraId="4DF84957" w14:textId="77777777" w:rsidR="00854D15" w:rsidRPr="00854D15" w:rsidRDefault="00854D15" w:rsidP="00854D15">
            <w:pPr>
              <w:pStyle w:val="NoSpacing"/>
              <w:autoSpaceDN w:val="0"/>
              <w:jc w:val="center"/>
              <w:rPr>
                <w:rFonts w:ascii="Calibri" w:eastAsia="Calibri" w:hAnsi="Calibri" w:cs="Calibri"/>
                <w:b/>
                <w:bCs/>
                <w:kern w:val="0"/>
                <w:sz w:val="24"/>
                <w:szCs w:val="24"/>
                <w14:ligatures w14:val="none"/>
              </w:rPr>
            </w:pPr>
          </w:p>
        </w:tc>
        <w:tc>
          <w:tcPr>
            <w:tcW w:w="2422" w:type="dxa"/>
          </w:tcPr>
          <w:p w14:paraId="492265F9"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 xml:space="preserve">Minutes of church officer meetings </w:t>
            </w:r>
          </w:p>
          <w:p w14:paraId="47AED35A"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Elders / trustees / sub-committees</w:t>
            </w:r>
          </w:p>
        </w:tc>
        <w:tc>
          <w:tcPr>
            <w:tcW w:w="2552" w:type="dxa"/>
          </w:tcPr>
          <w:p w14:paraId="18EF11FE"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During the existence of the charity</w:t>
            </w:r>
          </w:p>
        </w:tc>
        <w:tc>
          <w:tcPr>
            <w:tcW w:w="2519" w:type="dxa"/>
          </w:tcPr>
          <w:p w14:paraId="2691FF23"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Charity Commission Guidance note CC48 (see section 12)</w:t>
            </w:r>
          </w:p>
        </w:tc>
      </w:tr>
      <w:tr w:rsidR="00854D15" w14:paraId="66FFBFA7" w14:textId="77777777" w:rsidTr="00B177C3">
        <w:tc>
          <w:tcPr>
            <w:tcW w:w="2135" w:type="dxa"/>
            <w:vMerge/>
            <w:tcBorders>
              <w:left w:val="nil"/>
            </w:tcBorders>
            <w:shd w:val="clear" w:color="auto" w:fill="auto"/>
          </w:tcPr>
          <w:p w14:paraId="7137BEA1" w14:textId="77777777" w:rsidR="00854D15" w:rsidRPr="00854D15" w:rsidRDefault="00854D15" w:rsidP="00854D15">
            <w:pPr>
              <w:pStyle w:val="NoSpacing"/>
              <w:autoSpaceDN w:val="0"/>
              <w:jc w:val="center"/>
              <w:rPr>
                <w:rFonts w:ascii="Calibri" w:eastAsia="Calibri" w:hAnsi="Calibri" w:cs="Calibri"/>
                <w:b/>
                <w:bCs/>
                <w:kern w:val="0"/>
                <w:sz w:val="24"/>
                <w:szCs w:val="24"/>
                <w14:ligatures w14:val="none"/>
              </w:rPr>
            </w:pPr>
          </w:p>
        </w:tc>
        <w:tc>
          <w:tcPr>
            <w:tcW w:w="2422" w:type="dxa"/>
          </w:tcPr>
          <w:p w14:paraId="02991649"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Minutes of church members meetings</w:t>
            </w:r>
          </w:p>
        </w:tc>
        <w:tc>
          <w:tcPr>
            <w:tcW w:w="2552" w:type="dxa"/>
          </w:tcPr>
          <w:p w14:paraId="45F8A24C"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During the existence of the charity</w:t>
            </w:r>
          </w:p>
        </w:tc>
        <w:tc>
          <w:tcPr>
            <w:tcW w:w="2519" w:type="dxa"/>
          </w:tcPr>
          <w:p w14:paraId="6E7704CB"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Charity Commission Guidance note CC48 (see section 12)</w:t>
            </w:r>
          </w:p>
        </w:tc>
      </w:tr>
      <w:tr w:rsidR="00854D15" w14:paraId="0340EC14" w14:textId="77777777" w:rsidTr="00FA2BB5">
        <w:tc>
          <w:tcPr>
            <w:tcW w:w="2135" w:type="dxa"/>
            <w:vMerge/>
            <w:tcBorders>
              <w:left w:val="nil"/>
              <w:bottom w:val="single" w:sz="4" w:space="0" w:color="auto"/>
            </w:tcBorders>
            <w:shd w:val="clear" w:color="auto" w:fill="auto"/>
          </w:tcPr>
          <w:p w14:paraId="7C6856AF" w14:textId="77777777" w:rsidR="00854D15" w:rsidRPr="00854D15" w:rsidRDefault="00854D15" w:rsidP="00854D15">
            <w:pPr>
              <w:pStyle w:val="NoSpacing"/>
              <w:autoSpaceDN w:val="0"/>
              <w:jc w:val="center"/>
              <w:rPr>
                <w:rFonts w:ascii="Calibri" w:eastAsia="Calibri" w:hAnsi="Calibri" w:cs="Calibri"/>
                <w:b/>
                <w:bCs/>
                <w:kern w:val="0"/>
                <w:sz w:val="24"/>
                <w:szCs w:val="24"/>
                <w14:ligatures w14:val="none"/>
              </w:rPr>
            </w:pPr>
          </w:p>
        </w:tc>
        <w:tc>
          <w:tcPr>
            <w:tcW w:w="2422" w:type="dxa"/>
            <w:tcBorders>
              <w:bottom w:val="single" w:sz="4" w:space="0" w:color="auto"/>
            </w:tcBorders>
          </w:tcPr>
          <w:p w14:paraId="49D282CA"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Annual reports</w:t>
            </w:r>
          </w:p>
        </w:tc>
        <w:tc>
          <w:tcPr>
            <w:tcW w:w="2552" w:type="dxa"/>
            <w:tcBorders>
              <w:bottom w:val="single" w:sz="4" w:space="0" w:color="auto"/>
            </w:tcBorders>
          </w:tcPr>
          <w:p w14:paraId="2BF06C1B"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During the existence of the charity</w:t>
            </w:r>
          </w:p>
        </w:tc>
        <w:tc>
          <w:tcPr>
            <w:tcW w:w="2519" w:type="dxa"/>
            <w:tcBorders>
              <w:bottom w:val="single" w:sz="4" w:space="0" w:color="auto"/>
            </w:tcBorders>
          </w:tcPr>
          <w:p w14:paraId="417010CA" w14:textId="77777777" w:rsidR="00854D15" w:rsidRPr="00854D15" w:rsidRDefault="00854D15" w:rsidP="00EA4886">
            <w:pPr>
              <w:pStyle w:val="NoSpacing"/>
              <w:autoSpaceDN w:val="0"/>
              <w:rPr>
                <w:rFonts w:ascii="Calibri" w:eastAsia="Calibri" w:hAnsi="Calibri" w:cs="Calibri"/>
                <w:kern w:val="0"/>
                <w:sz w:val="20"/>
                <w:szCs w:val="20"/>
                <w14:ligatures w14:val="none"/>
              </w:rPr>
            </w:pPr>
          </w:p>
        </w:tc>
      </w:tr>
      <w:tr w:rsidR="00A624F8" w14:paraId="1284FD76" w14:textId="77777777" w:rsidTr="00FA2BB5">
        <w:tc>
          <w:tcPr>
            <w:tcW w:w="2135" w:type="dxa"/>
            <w:tcBorders>
              <w:bottom w:val="single" w:sz="4" w:space="0" w:color="auto"/>
              <w:right w:val="nil"/>
            </w:tcBorders>
            <w:shd w:val="clear" w:color="auto" w:fill="77206D" w:themeFill="accent5" w:themeFillShade="BF"/>
          </w:tcPr>
          <w:p w14:paraId="242ECDEC" w14:textId="5C9332CB" w:rsidR="00A624F8" w:rsidRPr="00854D15" w:rsidRDefault="00A624F8" w:rsidP="00854D15">
            <w:pPr>
              <w:pStyle w:val="NoSpacing"/>
              <w:jc w:val="center"/>
              <w:rPr>
                <w:rFonts w:cs="Calibri"/>
                <w:b/>
                <w:bCs/>
                <w:color w:val="FFFFFF" w:themeColor="background1"/>
                <w:sz w:val="24"/>
                <w:szCs w:val="24"/>
              </w:rPr>
            </w:pPr>
            <w:r w:rsidRPr="00854D15">
              <w:rPr>
                <w:rFonts w:ascii="Calibri" w:eastAsia="Calibri" w:hAnsi="Calibri" w:cs="Calibri"/>
                <w:b/>
                <w:bCs/>
                <w:color w:val="FFFFFF" w:themeColor="background1"/>
                <w:kern w:val="0"/>
                <w:sz w:val="24"/>
                <w:szCs w:val="24"/>
                <w14:ligatures w14:val="none"/>
              </w:rPr>
              <w:t>Building records</w:t>
            </w:r>
          </w:p>
        </w:tc>
        <w:tc>
          <w:tcPr>
            <w:tcW w:w="2422" w:type="dxa"/>
            <w:tcBorders>
              <w:left w:val="nil"/>
              <w:bottom w:val="single" w:sz="4" w:space="0" w:color="auto"/>
              <w:right w:val="nil"/>
            </w:tcBorders>
            <w:shd w:val="clear" w:color="auto" w:fill="77206D" w:themeFill="accent5" w:themeFillShade="BF"/>
          </w:tcPr>
          <w:p w14:paraId="329E8FAE" w14:textId="77777777" w:rsidR="00A624F8" w:rsidRPr="00854D15" w:rsidRDefault="00A624F8" w:rsidP="00EA4886">
            <w:pPr>
              <w:pStyle w:val="NoSpacing"/>
              <w:rPr>
                <w:rFonts w:cs="Calibri"/>
                <w:sz w:val="20"/>
                <w:szCs w:val="20"/>
              </w:rPr>
            </w:pPr>
          </w:p>
        </w:tc>
        <w:tc>
          <w:tcPr>
            <w:tcW w:w="2552" w:type="dxa"/>
            <w:tcBorders>
              <w:left w:val="nil"/>
              <w:bottom w:val="single" w:sz="4" w:space="0" w:color="auto"/>
              <w:right w:val="nil"/>
            </w:tcBorders>
            <w:shd w:val="clear" w:color="auto" w:fill="77206D" w:themeFill="accent5" w:themeFillShade="BF"/>
          </w:tcPr>
          <w:p w14:paraId="07FAE1DA" w14:textId="77777777" w:rsidR="00A624F8" w:rsidRPr="00854D15" w:rsidRDefault="00A624F8" w:rsidP="00EA4886">
            <w:pPr>
              <w:pStyle w:val="NoSpacing"/>
              <w:rPr>
                <w:rFonts w:cs="Calibri"/>
                <w:sz w:val="20"/>
                <w:szCs w:val="20"/>
              </w:rPr>
            </w:pPr>
          </w:p>
        </w:tc>
        <w:tc>
          <w:tcPr>
            <w:tcW w:w="2519" w:type="dxa"/>
            <w:tcBorders>
              <w:left w:val="nil"/>
              <w:bottom w:val="single" w:sz="4" w:space="0" w:color="auto"/>
            </w:tcBorders>
            <w:shd w:val="clear" w:color="auto" w:fill="77206D" w:themeFill="accent5" w:themeFillShade="BF"/>
          </w:tcPr>
          <w:p w14:paraId="3EB7214B" w14:textId="77777777" w:rsidR="00A624F8" w:rsidRPr="00854D15" w:rsidRDefault="00A624F8" w:rsidP="00EA4886">
            <w:pPr>
              <w:pStyle w:val="NoSpacing"/>
              <w:rPr>
                <w:rFonts w:cs="Calibri"/>
                <w:sz w:val="20"/>
                <w:szCs w:val="20"/>
              </w:rPr>
            </w:pPr>
          </w:p>
        </w:tc>
      </w:tr>
      <w:tr w:rsidR="00854D15" w14:paraId="07E64BBF" w14:textId="77777777" w:rsidTr="00FA2BB5">
        <w:trPr>
          <w:cantSplit/>
        </w:trPr>
        <w:tc>
          <w:tcPr>
            <w:tcW w:w="2135" w:type="dxa"/>
            <w:vMerge w:val="restart"/>
            <w:tcBorders>
              <w:top w:val="single" w:sz="4" w:space="0" w:color="auto"/>
              <w:left w:val="nil"/>
              <w:bottom w:val="nil"/>
              <w:right w:val="single" w:sz="4" w:space="0" w:color="auto"/>
            </w:tcBorders>
            <w:shd w:val="clear" w:color="auto" w:fill="auto"/>
          </w:tcPr>
          <w:p w14:paraId="6ECC5E33" w14:textId="16107D60" w:rsidR="00854D15" w:rsidRPr="00854D15" w:rsidRDefault="00854D15" w:rsidP="00854D15">
            <w:pPr>
              <w:pStyle w:val="NoSpacing"/>
              <w:autoSpaceDN w:val="0"/>
              <w:jc w:val="center"/>
              <w:rPr>
                <w:rFonts w:ascii="Calibri" w:eastAsia="Calibri" w:hAnsi="Calibri" w:cs="Calibri"/>
                <w:b/>
                <w:bCs/>
                <w:color w:val="FFFFFF" w:themeColor="background1"/>
                <w:kern w:val="0"/>
                <w:sz w:val="24"/>
                <w:szCs w:val="24"/>
                <w14:ligatures w14:val="none"/>
              </w:rPr>
            </w:pPr>
          </w:p>
        </w:tc>
        <w:tc>
          <w:tcPr>
            <w:tcW w:w="2422" w:type="dxa"/>
            <w:tcBorders>
              <w:top w:val="single" w:sz="4" w:space="0" w:color="auto"/>
              <w:left w:val="single" w:sz="4" w:space="0" w:color="auto"/>
            </w:tcBorders>
          </w:tcPr>
          <w:p w14:paraId="3146AE09"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Title deeds</w:t>
            </w:r>
          </w:p>
        </w:tc>
        <w:tc>
          <w:tcPr>
            <w:tcW w:w="2552" w:type="dxa"/>
            <w:tcBorders>
              <w:top w:val="single" w:sz="4" w:space="0" w:color="auto"/>
            </w:tcBorders>
          </w:tcPr>
          <w:p w14:paraId="7F8F4B22"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 xml:space="preserve">Permanently or until 6 years after property is disposed of </w:t>
            </w:r>
          </w:p>
        </w:tc>
        <w:tc>
          <w:tcPr>
            <w:tcW w:w="2519" w:type="dxa"/>
            <w:tcBorders>
              <w:top w:val="single" w:sz="4" w:space="0" w:color="auto"/>
            </w:tcBorders>
          </w:tcPr>
          <w:p w14:paraId="37425C93"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Limitations Act 1980</w:t>
            </w:r>
          </w:p>
        </w:tc>
      </w:tr>
      <w:tr w:rsidR="00854D15" w14:paraId="6471C546" w14:textId="77777777" w:rsidTr="00FA2BB5">
        <w:tc>
          <w:tcPr>
            <w:tcW w:w="2135" w:type="dxa"/>
            <w:vMerge/>
            <w:tcBorders>
              <w:top w:val="nil"/>
              <w:left w:val="nil"/>
              <w:bottom w:val="nil"/>
              <w:right w:val="single" w:sz="4" w:space="0" w:color="auto"/>
            </w:tcBorders>
            <w:shd w:val="clear" w:color="auto" w:fill="auto"/>
          </w:tcPr>
          <w:p w14:paraId="28F497C9" w14:textId="77777777" w:rsidR="00854D15" w:rsidRPr="00854D15" w:rsidRDefault="00854D15"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4A6FB2BD"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Leases</w:t>
            </w:r>
          </w:p>
        </w:tc>
        <w:tc>
          <w:tcPr>
            <w:tcW w:w="2552" w:type="dxa"/>
          </w:tcPr>
          <w:p w14:paraId="3A28E9C2"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12 years after the lease and liabilities under the lease have ended</w:t>
            </w:r>
          </w:p>
        </w:tc>
        <w:tc>
          <w:tcPr>
            <w:tcW w:w="2519" w:type="dxa"/>
          </w:tcPr>
          <w:p w14:paraId="4E9C7CEF"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Limitations Act 1980</w:t>
            </w:r>
          </w:p>
        </w:tc>
      </w:tr>
      <w:tr w:rsidR="00854D15" w14:paraId="5437DF24" w14:textId="77777777" w:rsidTr="00FA2BB5">
        <w:tc>
          <w:tcPr>
            <w:tcW w:w="2135" w:type="dxa"/>
            <w:vMerge/>
            <w:tcBorders>
              <w:top w:val="nil"/>
              <w:left w:val="nil"/>
              <w:bottom w:val="nil"/>
              <w:right w:val="single" w:sz="4" w:space="0" w:color="auto"/>
            </w:tcBorders>
            <w:shd w:val="clear" w:color="auto" w:fill="auto"/>
          </w:tcPr>
          <w:p w14:paraId="7BA9F035" w14:textId="77777777" w:rsidR="00854D15" w:rsidRPr="00854D15" w:rsidRDefault="00854D15"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41712308"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Plans, designs, drawings, planning consents, building certifications, records of major refurbishments and redevelopments</w:t>
            </w:r>
          </w:p>
        </w:tc>
        <w:tc>
          <w:tcPr>
            <w:tcW w:w="2552" w:type="dxa"/>
          </w:tcPr>
          <w:p w14:paraId="2C59B476"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Permanently or until 6 years after the property is disposed of</w:t>
            </w:r>
          </w:p>
        </w:tc>
        <w:tc>
          <w:tcPr>
            <w:tcW w:w="2519" w:type="dxa"/>
          </w:tcPr>
          <w:p w14:paraId="086CE272"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Limitations Act 1980</w:t>
            </w:r>
          </w:p>
        </w:tc>
      </w:tr>
      <w:tr w:rsidR="00854D15" w14:paraId="44FDCAA7" w14:textId="77777777" w:rsidTr="00FA2BB5">
        <w:tc>
          <w:tcPr>
            <w:tcW w:w="2135" w:type="dxa"/>
            <w:vMerge/>
            <w:tcBorders>
              <w:top w:val="nil"/>
              <w:left w:val="nil"/>
              <w:bottom w:val="nil"/>
              <w:right w:val="single" w:sz="4" w:space="0" w:color="auto"/>
            </w:tcBorders>
            <w:shd w:val="clear" w:color="auto" w:fill="auto"/>
          </w:tcPr>
          <w:p w14:paraId="7E785CF6" w14:textId="77777777" w:rsidR="00854D15" w:rsidRPr="00854D15" w:rsidRDefault="00854D15"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bottom w:val="single" w:sz="4" w:space="0" w:color="auto"/>
            </w:tcBorders>
          </w:tcPr>
          <w:p w14:paraId="6A93575B"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Asbestos register</w:t>
            </w:r>
          </w:p>
        </w:tc>
        <w:tc>
          <w:tcPr>
            <w:tcW w:w="2552" w:type="dxa"/>
            <w:tcBorders>
              <w:bottom w:val="single" w:sz="4" w:space="0" w:color="auto"/>
            </w:tcBorders>
          </w:tcPr>
          <w:p w14:paraId="318B1FFE"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Permanently</w:t>
            </w:r>
          </w:p>
        </w:tc>
        <w:tc>
          <w:tcPr>
            <w:tcW w:w="2519" w:type="dxa"/>
            <w:tcBorders>
              <w:bottom w:val="single" w:sz="4" w:space="0" w:color="auto"/>
            </w:tcBorders>
          </w:tcPr>
          <w:p w14:paraId="41571642" w14:textId="77777777" w:rsidR="00854D15" w:rsidRPr="00854D15" w:rsidRDefault="00854D15"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Control of Asbestos at Work regulations</w:t>
            </w:r>
          </w:p>
        </w:tc>
      </w:tr>
      <w:tr w:rsidR="00AB09A3" w14:paraId="312B9E98" w14:textId="77777777" w:rsidTr="00FA2BB5">
        <w:tc>
          <w:tcPr>
            <w:tcW w:w="2135" w:type="dxa"/>
            <w:tcBorders>
              <w:top w:val="nil"/>
              <w:bottom w:val="single" w:sz="4" w:space="0" w:color="auto"/>
              <w:right w:val="nil"/>
            </w:tcBorders>
            <w:shd w:val="clear" w:color="auto" w:fill="77206D" w:themeFill="accent5" w:themeFillShade="BF"/>
          </w:tcPr>
          <w:p w14:paraId="7E2E5D88" w14:textId="3FDC5FD5" w:rsidR="00AB09A3" w:rsidRPr="009D4F17" w:rsidRDefault="00EC21AE" w:rsidP="00854D15">
            <w:pPr>
              <w:pStyle w:val="NoSpacing"/>
              <w:jc w:val="center"/>
              <w:rPr>
                <w:rFonts w:cs="Calibri"/>
                <w:b/>
                <w:bCs/>
                <w:color w:val="FFFFFF" w:themeColor="background1"/>
                <w:sz w:val="24"/>
                <w:szCs w:val="24"/>
              </w:rPr>
            </w:pPr>
            <w:r w:rsidRPr="009D4F17">
              <w:rPr>
                <w:rFonts w:ascii="Calibri" w:eastAsia="Calibri" w:hAnsi="Calibri" w:cs="Calibri"/>
                <w:b/>
                <w:bCs/>
                <w:color w:val="FFFFFF" w:themeColor="background1"/>
                <w:kern w:val="0"/>
                <w:sz w:val="24"/>
                <w:szCs w:val="24"/>
                <w14:ligatures w14:val="none"/>
              </w:rPr>
              <w:t>Insurance records</w:t>
            </w:r>
          </w:p>
        </w:tc>
        <w:tc>
          <w:tcPr>
            <w:tcW w:w="2422" w:type="dxa"/>
            <w:tcBorders>
              <w:left w:val="nil"/>
              <w:bottom w:val="single" w:sz="4" w:space="0" w:color="auto"/>
              <w:right w:val="nil"/>
            </w:tcBorders>
            <w:shd w:val="clear" w:color="auto" w:fill="77206D" w:themeFill="accent5" w:themeFillShade="BF"/>
          </w:tcPr>
          <w:p w14:paraId="53C72C1B" w14:textId="77777777" w:rsidR="00AB09A3" w:rsidRPr="009D4F17" w:rsidRDefault="00AB09A3" w:rsidP="00EA4886">
            <w:pPr>
              <w:pStyle w:val="NoSpacing"/>
              <w:rPr>
                <w:rFonts w:cs="Calibri"/>
                <w:color w:val="FFFFFF" w:themeColor="background1"/>
                <w:sz w:val="20"/>
                <w:szCs w:val="20"/>
              </w:rPr>
            </w:pPr>
          </w:p>
        </w:tc>
        <w:tc>
          <w:tcPr>
            <w:tcW w:w="2552" w:type="dxa"/>
            <w:tcBorders>
              <w:left w:val="nil"/>
              <w:bottom w:val="single" w:sz="4" w:space="0" w:color="auto"/>
              <w:right w:val="nil"/>
            </w:tcBorders>
            <w:shd w:val="clear" w:color="auto" w:fill="77206D" w:themeFill="accent5" w:themeFillShade="BF"/>
          </w:tcPr>
          <w:p w14:paraId="1AF3F1D6" w14:textId="77777777" w:rsidR="00AB09A3" w:rsidRPr="009D4F17" w:rsidRDefault="00AB09A3" w:rsidP="00EA4886">
            <w:pPr>
              <w:pStyle w:val="NoSpacing"/>
              <w:rPr>
                <w:rFonts w:cs="Calibri"/>
                <w:color w:val="FFFFFF" w:themeColor="background1"/>
                <w:sz w:val="20"/>
                <w:szCs w:val="20"/>
              </w:rPr>
            </w:pPr>
          </w:p>
        </w:tc>
        <w:tc>
          <w:tcPr>
            <w:tcW w:w="2519" w:type="dxa"/>
            <w:tcBorders>
              <w:left w:val="nil"/>
              <w:bottom w:val="single" w:sz="4" w:space="0" w:color="auto"/>
            </w:tcBorders>
            <w:shd w:val="clear" w:color="auto" w:fill="77206D" w:themeFill="accent5" w:themeFillShade="BF"/>
          </w:tcPr>
          <w:p w14:paraId="1B91530B" w14:textId="77777777" w:rsidR="00AB09A3" w:rsidRPr="009D4F17" w:rsidRDefault="00AB09A3" w:rsidP="00EA4886">
            <w:pPr>
              <w:pStyle w:val="NoSpacing"/>
              <w:rPr>
                <w:rFonts w:cs="Calibri"/>
                <w:color w:val="FFFFFF" w:themeColor="background1"/>
                <w:sz w:val="20"/>
                <w:szCs w:val="20"/>
              </w:rPr>
            </w:pPr>
          </w:p>
        </w:tc>
      </w:tr>
      <w:tr w:rsidR="00EA4886" w14:paraId="3F55D353" w14:textId="77777777" w:rsidTr="00FA2BB5">
        <w:tc>
          <w:tcPr>
            <w:tcW w:w="2135" w:type="dxa"/>
            <w:tcBorders>
              <w:top w:val="single" w:sz="4" w:space="0" w:color="auto"/>
              <w:left w:val="nil"/>
              <w:bottom w:val="nil"/>
              <w:right w:val="single" w:sz="4" w:space="0" w:color="auto"/>
            </w:tcBorders>
          </w:tcPr>
          <w:p w14:paraId="102636D5"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top w:val="single" w:sz="4" w:space="0" w:color="auto"/>
              <w:left w:val="single" w:sz="4" w:space="0" w:color="auto"/>
            </w:tcBorders>
          </w:tcPr>
          <w:p w14:paraId="25124E64"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Public liability policies and certificates</w:t>
            </w:r>
          </w:p>
        </w:tc>
        <w:tc>
          <w:tcPr>
            <w:tcW w:w="2552" w:type="dxa"/>
            <w:tcBorders>
              <w:top w:val="single" w:sz="4" w:space="0" w:color="auto"/>
            </w:tcBorders>
          </w:tcPr>
          <w:p w14:paraId="4A5610F8"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Permanently</w:t>
            </w:r>
          </w:p>
        </w:tc>
        <w:tc>
          <w:tcPr>
            <w:tcW w:w="2519" w:type="dxa"/>
            <w:tcBorders>
              <w:top w:val="single" w:sz="4" w:space="0" w:color="auto"/>
            </w:tcBorders>
          </w:tcPr>
          <w:p w14:paraId="62D5CE3D"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Historical claims</w:t>
            </w:r>
          </w:p>
        </w:tc>
      </w:tr>
      <w:tr w:rsidR="00EA4886" w14:paraId="13E8DEDA" w14:textId="77777777" w:rsidTr="00FA2BB5">
        <w:tc>
          <w:tcPr>
            <w:tcW w:w="2135" w:type="dxa"/>
            <w:tcBorders>
              <w:top w:val="nil"/>
              <w:left w:val="nil"/>
              <w:bottom w:val="nil"/>
              <w:right w:val="single" w:sz="4" w:space="0" w:color="auto"/>
            </w:tcBorders>
          </w:tcPr>
          <w:p w14:paraId="5A98F6D6"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394247DC" w14:textId="77777777" w:rsidR="00EA4886" w:rsidRPr="00854D15" w:rsidRDefault="00EA4886" w:rsidP="00EA4886">
            <w:pPr>
              <w:pStyle w:val="NoSpacing"/>
              <w:autoSpaceDN w:val="0"/>
              <w:rPr>
                <w:rFonts w:ascii="Calibri" w:eastAsia="Calibri" w:hAnsi="Calibri" w:cs="Calibri"/>
                <w:kern w:val="0"/>
                <w:sz w:val="20"/>
                <w:szCs w:val="20"/>
                <w14:ligatures w14:val="none"/>
              </w:rPr>
            </w:pPr>
            <w:proofErr w:type="gramStart"/>
            <w:r w:rsidRPr="00854D15">
              <w:rPr>
                <w:rFonts w:ascii="Calibri" w:eastAsia="Calibri" w:hAnsi="Calibri" w:cs="Calibri"/>
                <w:kern w:val="0"/>
                <w:sz w:val="20"/>
                <w:szCs w:val="20"/>
                <w14:ligatures w14:val="none"/>
              </w:rPr>
              <w:t>Employers</w:t>
            </w:r>
            <w:proofErr w:type="gramEnd"/>
            <w:r w:rsidRPr="00854D15">
              <w:rPr>
                <w:rFonts w:ascii="Calibri" w:eastAsia="Calibri" w:hAnsi="Calibri" w:cs="Calibri"/>
                <w:kern w:val="0"/>
                <w:sz w:val="20"/>
                <w:szCs w:val="20"/>
                <w14:ligatures w14:val="none"/>
              </w:rPr>
              <w:t xml:space="preserve"> liability policies</w:t>
            </w:r>
          </w:p>
        </w:tc>
        <w:tc>
          <w:tcPr>
            <w:tcW w:w="2552" w:type="dxa"/>
          </w:tcPr>
          <w:p w14:paraId="3ECB8DC7"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40 years</w:t>
            </w:r>
          </w:p>
        </w:tc>
        <w:tc>
          <w:tcPr>
            <w:tcW w:w="2519" w:type="dxa"/>
          </w:tcPr>
          <w:p w14:paraId="220AD061"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Employers’ Liability (Compulsory Insurance) Regulations 1998</w:t>
            </w:r>
          </w:p>
        </w:tc>
      </w:tr>
      <w:tr w:rsidR="00EA4886" w14:paraId="4E451DC8" w14:textId="77777777" w:rsidTr="00FA2BB5">
        <w:tc>
          <w:tcPr>
            <w:tcW w:w="2135" w:type="dxa"/>
            <w:tcBorders>
              <w:top w:val="nil"/>
              <w:left w:val="nil"/>
              <w:bottom w:val="nil"/>
              <w:right w:val="single" w:sz="4" w:space="0" w:color="auto"/>
            </w:tcBorders>
          </w:tcPr>
          <w:p w14:paraId="67B9FADA"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bottom w:val="single" w:sz="4" w:space="0" w:color="auto"/>
            </w:tcBorders>
          </w:tcPr>
          <w:p w14:paraId="64D97D19"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Claims correspondence</w:t>
            </w:r>
          </w:p>
        </w:tc>
        <w:tc>
          <w:tcPr>
            <w:tcW w:w="2552" w:type="dxa"/>
            <w:tcBorders>
              <w:bottom w:val="single" w:sz="4" w:space="0" w:color="auto"/>
            </w:tcBorders>
          </w:tcPr>
          <w:p w14:paraId="06A1043F"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3 years after settlement</w:t>
            </w:r>
          </w:p>
        </w:tc>
        <w:tc>
          <w:tcPr>
            <w:tcW w:w="2519" w:type="dxa"/>
            <w:tcBorders>
              <w:bottom w:val="single" w:sz="4" w:space="0" w:color="auto"/>
            </w:tcBorders>
          </w:tcPr>
          <w:p w14:paraId="6A2CA865"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Data Protection Act</w:t>
            </w:r>
          </w:p>
        </w:tc>
      </w:tr>
      <w:tr w:rsidR="00AB09A3" w14:paraId="567F6BD3" w14:textId="77777777" w:rsidTr="00FA2BB5">
        <w:tc>
          <w:tcPr>
            <w:tcW w:w="2135" w:type="dxa"/>
            <w:tcBorders>
              <w:top w:val="nil"/>
              <w:bottom w:val="single" w:sz="4" w:space="0" w:color="auto"/>
              <w:right w:val="nil"/>
            </w:tcBorders>
            <w:shd w:val="clear" w:color="auto" w:fill="77206D" w:themeFill="accent5" w:themeFillShade="BF"/>
          </w:tcPr>
          <w:p w14:paraId="7F171B2C" w14:textId="47523EEB" w:rsidR="00AB09A3" w:rsidRPr="00CF52C1" w:rsidRDefault="00EC21AE" w:rsidP="00854D15">
            <w:pPr>
              <w:pStyle w:val="NoSpacing"/>
              <w:jc w:val="center"/>
              <w:rPr>
                <w:rFonts w:cs="Calibri"/>
                <w:b/>
                <w:bCs/>
                <w:color w:val="FFFFFF" w:themeColor="background1"/>
                <w:sz w:val="24"/>
                <w:szCs w:val="24"/>
              </w:rPr>
            </w:pPr>
            <w:r w:rsidRPr="00CF52C1">
              <w:rPr>
                <w:rFonts w:ascii="Calibri" w:eastAsia="Calibri" w:hAnsi="Calibri" w:cs="Calibri"/>
                <w:b/>
                <w:bCs/>
                <w:color w:val="FFFFFF" w:themeColor="background1"/>
                <w:kern w:val="0"/>
                <w:sz w:val="24"/>
                <w:szCs w:val="24"/>
                <w14:ligatures w14:val="none"/>
              </w:rPr>
              <w:t>Financial records</w:t>
            </w:r>
          </w:p>
        </w:tc>
        <w:tc>
          <w:tcPr>
            <w:tcW w:w="2422" w:type="dxa"/>
            <w:tcBorders>
              <w:left w:val="nil"/>
              <w:bottom w:val="single" w:sz="4" w:space="0" w:color="auto"/>
              <w:right w:val="nil"/>
            </w:tcBorders>
            <w:shd w:val="clear" w:color="auto" w:fill="77206D" w:themeFill="accent5" w:themeFillShade="BF"/>
          </w:tcPr>
          <w:p w14:paraId="347A5C40" w14:textId="77777777" w:rsidR="00AB09A3" w:rsidRPr="00CF52C1" w:rsidRDefault="00AB09A3" w:rsidP="00EA4886">
            <w:pPr>
              <w:pStyle w:val="NoSpacing"/>
              <w:rPr>
                <w:rFonts w:cs="Calibri"/>
                <w:color w:val="FFFFFF" w:themeColor="background1"/>
                <w:sz w:val="20"/>
                <w:szCs w:val="20"/>
              </w:rPr>
            </w:pPr>
          </w:p>
        </w:tc>
        <w:tc>
          <w:tcPr>
            <w:tcW w:w="2552" w:type="dxa"/>
            <w:tcBorders>
              <w:left w:val="nil"/>
              <w:bottom w:val="single" w:sz="4" w:space="0" w:color="auto"/>
              <w:right w:val="nil"/>
            </w:tcBorders>
            <w:shd w:val="clear" w:color="auto" w:fill="77206D" w:themeFill="accent5" w:themeFillShade="BF"/>
          </w:tcPr>
          <w:p w14:paraId="5531C111" w14:textId="77777777" w:rsidR="00AB09A3" w:rsidRPr="00CF52C1" w:rsidRDefault="00AB09A3" w:rsidP="00EA4886">
            <w:pPr>
              <w:pStyle w:val="NoSpacing"/>
              <w:rPr>
                <w:rFonts w:cs="Calibri"/>
                <w:color w:val="FFFFFF" w:themeColor="background1"/>
                <w:sz w:val="20"/>
                <w:szCs w:val="20"/>
              </w:rPr>
            </w:pPr>
          </w:p>
        </w:tc>
        <w:tc>
          <w:tcPr>
            <w:tcW w:w="2519" w:type="dxa"/>
            <w:tcBorders>
              <w:left w:val="nil"/>
              <w:bottom w:val="single" w:sz="4" w:space="0" w:color="auto"/>
            </w:tcBorders>
            <w:shd w:val="clear" w:color="auto" w:fill="77206D" w:themeFill="accent5" w:themeFillShade="BF"/>
          </w:tcPr>
          <w:p w14:paraId="70C87D64" w14:textId="77777777" w:rsidR="00AB09A3" w:rsidRPr="00CF52C1" w:rsidRDefault="00AB09A3" w:rsidP="00EA4886">
            <w:pPr>
              <w:pStyle w:val="NoSpacing"/>
              <w:rPr>
                <w:rFonts w:cs="Calibri"/>
                <w:color w:val="FFFFFF" w:themeColor="background1"/>
                <w:sz w:val="20"/>
                <w:szCs w:val="20"/>
              </w:rPr>
            </w:pPr>
          </w:p>
        </w:tc>
      </w:tr>
      <w:tr w:rsidR="00EA4886" w14:paraId="70EE77EC" w14:textId="77777777" w:rsidTr="00FA2BB5">
        <w:tc>
          <w:tcPr>
            <w:tcW w:w="2135" w:type="dxa"/>
            <w:tcBorders>
              <w:top w:val="single" w:sz="4" w:space="0" w:color="auto"/>
              <w:left w:val="nil"/>
              <w:bottom w:val="nil"/>
              <w:right w:val="single" w:sz="4" w:space="0" w:color="auto"/>
            </w:tcBorders>
          </w:tcPr>
          <w:p w14:paraId="3C9E2697"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top w:val="single" w:sz="4" w:space="0" w:color="auto"/>
              <w:left w:val="single" w:sz="4" w:space="0" w:color="auto"/>
            </w:tcBorders>
          </w:tcPr>
          <w:p w14:paraId="1A3B3D28"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 xml:space="preserve">All financial records – invoices, bank statements, accounts, bank reconciliation, </w:t>
            </w:r>
          </w:p>
        </w:tc>
        <w:tc>
          <w:tcPr>
            <w:tcW w:w="2552" w:type="dxa"/>
            <w:tcBorders>
              <w:top w:val="single" w:sz="4" w:space="0" w:color="auto"/>
            </w:tcBorders>
          </w:tcPr>
          <w:p w14:paraId="6DA5FA40"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6 years from the end of the financial year the record relates to</w:t>
            </w:r>
          </w:p>
        </w:tc>
        <w:tc>
          <w:tcPr>
            <w:tcW w:w="2519" w:type="dxa"/>
            <w:tcBorders>
              <w:top w:val="single" w:sz="4" w:space="0" w:color="auto"/>
            </w:tcBorders>
          </w:tcPr>
          <w:p w14:paraId="137E5779"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Charities Act / HMRC rules</w:t>
            </w:r>
          </w:p>
        </w:tc>
      </w:tr>
      <w:tr w:rsidR="00EA4886" w14:paraId="6DA852E3" w14:textId="77777777" w:rsidTr="00FA2BB5">
        <w:tc>
          <w:tcPr>
            <w:tcW w:w="2135" w:type="dxa"/>
            <w:tcBorders>
              <w:top w:val="nil"/>
              <w:left w:val="nil"/>
              <w:bottom w:val="nil"/>
              <w:right w:val="single" w:sz="4" w:space="0" w:color="auto"/>
            </w:tcBorders>
          </w:tcPr>
          <w:p w14:paraId="077B9711"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2B5F243E"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Gift aid declarations</w:t>
            </w:r>
          </w:p>
        </w:tc>
        <w:tc>
          <w:tcPr>
            <w:tcW w:w="2552" w:type="dxa"/>
          </w:tcPr>
          <w:p w14:paraId="7BFE39C8"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 xml:space="preserve">6 years from the end of the financial year the last claim was in </w:t>
            </w:r>
          </w:p>
        </w:tc>
        <w:tc>
          <w:tcPr>
            <w:tcW w:w="2519" w:type="dxa"/>
          </w:tcPr>
          <w:p w14:paraId="62FBB6FF"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HMRC rules</w:t>
            </w:r>
          </w:p>
        </w:tc>
      </w:tr>
      <w:tr w:rsidR="00EA4886" w14:paraId="5586195F" w14:textId="77777777" w:rsidTr="00FA2BB5">
        <w:tc>
          <w:tcPr>
            <w:tcW w:w="2135" w:type="dxa"/>
            <w:tcBorders>
              <w:top w:val="nil"/>
              <w:left w:val="nil"/>
              <w:bottom w:val="nil"/>
              <w:right w:val="single" w:sz="4" w:space="0" w:color="auto"/>
            </w:tcBorders>
          </w:tcPr>
          <w:p w14:paraId="6D80D123"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bottom w:val="single" w:sz="4" w:space="0" w:color="auto"/>
            </w:tcBorders>
          </w:tcPr>
          <w:p w14:paraId="01E42388"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Legacy information</w:t>
            </w:r>
          </w:p>
        </w:tc>
        <w:tc>
          <w:tcPr>
            <w:tcW w:w="2552" w:type="dxa"/>
            <w:tcBorders>
              <w:bottom w:val="single" w:sz="4" w:space="0" w:color="auto"/>
            </w:tcBorders>
          </w:tcPr>
          <w:p w14:paraId="2833B69B"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6 years after the deceased’s estate was wound up</w:t>
            </w:r>
          </w:p>
        </w:tc>
        <w:tc>
          <w:tcPr>
            <w:tcW w:w="2519" w:type="dxa"/>
            <w:tcBorders>
              <w:bottom w:val="single" w:sz="4" w:space="0" w:color="auto"/>
            </w:tcBorders>
          </w:tcPr>
          <w:p w14:paraId="62F11381"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HMRC rules</w:t>
            </w:r>
          </w:p>
        </w:tc>
      </w:tr>
      <w:tr w:rsidR="00AB09A3" w14:paraId="2C1C0612" w14:textId="77777777" w:rsidTr="00FA2BB5">
        <w:tc>
          <w:tcPr>
            <w:tcW w:w="2135" w:type="dxa"/>
            <w:tcBorders>
              <w:top w:val="nil"/>
              <w:right w:val="nil"/>
            </w:tcBorders>
            <w:shd w:val="clear" w:color="auto" w:fill="77206D" w:themeFill="accent5" w:themeFillShade="BF"/>
          </w:tcPr>
          <w:p w14:paraId="2F087334" w14:textId="09567C7E" w:rsidR="00AB09A3" w:rsidRPr="00CF52C1" w:rsidRDefault="00EC21AE" w:rsidP="00CF52C1">
            <w:pPr>
              <w:pStyle w:val="NoSpacing"/>
              <w:spacing w:line="240" w:lineRule="auto"/>
              <w:jc w:val="center"/>
              <w:rPr>
                <w:rFonts w:cs="Calibri"/>
                <w:b/>
                <w:bCs/>
                <w:color w:val="FFFFFF" w:themeColor="background1"/>
                <w:sz w:val="24"/>
                <w:szCs w:val="24"/>
              </w:rPr>
            </w:pPr>
            <w:r w:rsidRPr="00CF52C1">
              <w:rPr>
                <w:rFonts w:ascii="Calibri" w:eastAsia="Calibri" w:hAnsi="Calibri" w:cs="Calibri"/>
                <w:b/>
                <w:bCs/>
                <w:color w:val="FFFFFF" w:themeColor="background1"/>
                <w:kern w:val="0"/>
                <w:sz w:val="24"/>
                <w:szCs w:val="24"/>
                <w14:ligatures w14:val="none"/>
              </w:rPr>
              <w:t>Employee / personnel records</w:t>
            </w:r>
          </w:p>
        </w:tc>
        <w:tc>
          <w:tcPr>
            <w:tcW w:w="2422" w:type="dxa"/>
            <w:tcBorders>
              <w:left w:val="nil"/>
              <w:right w:val="nil"/>
            </w:tcBorders>
            <w:shd w:val="clear" w:color="auto" w:fill="77206D" w:themeFill="accent5" w:themeFillShade="BF"/>
          </w:tcPr>
          <w:p w14:paraId="723862CF" w14:textId="77777777" w:rsidR="00AB09A3" w:rsidRPr="00CF52C1" w:rsidRDefault="00AB09A3" w:rsidP="00CF52C1">
            <w:pPr>
              <w:pStyle w:val="NoSpacing"/>
              <w:spacing w:line="240" w:lineRule="auto"/>
              <w:rPr>
                <w:rFonts w:cs="Calibri"/>
                <w:color w:val="FFFFFF" w:themeColor="background1"/>
                <w:sz w:val="20"/>
                <w:szCs w:val="20"/>
              </w:rPr>
            </w:pPr>
          </w:p>
        </w:tc>
        <w:tc>
          <w:tcPr>
            <w:tcW w:w="2552" w:type="dxa"/>
            <w:tcBorders>
              <w:left w:val="nil"/>
              <w:right w:val="nil"/>
            </w:tcBorders>
            <w:shd w:val="clear" w:color="auto" w:fill="77206D" w:themeFill="accent5" w:themeFillShade="BF"/>
          </w:tcPr>
          <w:p w14:paraId="7833A5FE" w14:textId="77777777" w:rsidR="00AB09A3" w:rsidRPr="00CF52C1" w:rsidRDefault="00AB09A3" w:rsidP="00CF52C1">
            <w:pPr>
              <w:pStyle w:val="NoSpacing"/>
              <w:spacing w:line="240" w:lineRule="auto"/>
              <w:rPr>
                <w:rFonts w:cs="Calibri"/>
                <w:color w:val="FFFFFF" w:themeColor="background1"/>
                <w:sz w:val="20"/>
                <w:szCs w:val="20"/>
              </w:rPr>
            </w:pPr>
          </w:p>
        </w:tc>
        <w:tc>
          <w:tcPr>
            <w:tcW w:w="2519" w:type="dxa"/>
            <w:tcBorders>
              <w:left w:val="nil"/>
            </w:tcBorders>
            <w:shd w:val="clear" w:color="auto" w:fill="77206D" w:themeFill="accent5" w:themeFillShade="BF"/>
          </w:tcPr>
          <w:p w14:paraId="7073F8C8" w14:textId="77777777" w:rsidR="00AB09A3" w:rsidRPr="00CF52C1" w:rsidRDefault="00AB09A3" w:rsidP="00CF52C1">
            <w:pPr>
              <w:pStyle w:val="NoSpacing"/>
              <w:spacing w:line="240" w:lineRule="auto"/>
              <w:rPr>
                <w:rFonts w:cs="Calibri"/>
                <w:color w:val="FFFFFF" w:themeColor="background1"/>
                <w:sz w:val="20"/>
                <w:szCs w:val="20"/>
              </w:rPr>
            </w:pPr>
          </w:p>
        </w:tc>
      </w:tr>
      <w:tr w:rsidR="00E44E0D" w14:paraId="4AA29A67" w14:textId="77777777" w:rsidTr="00376272">
        <w:tc>
          <w:tcPr>
            <w:tcW w:w="2135" w:type="dxa"/>
            <w:vMerge w:val="restart"/>
            <w:tcBorders>
              <w:top w:val="nil"/>
              <w:left w:val="nil"/>
              <w:bottom w:val="nil"/>
              <w:right w:val="single" w:sz="4" w:space="0" w:color="auto"/>
            </w:tcBorders>
          </w:tcPr>
          <w:p w14:paraId="37B7A20D" w14:textId="77777777" w:rsidR="00E44E0D" w:rsidRPr="00854D15" w:rsidRDefault="00E44E0D"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1AD0ABBC"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All information related to recruitment and selection and personnel files</w:t>
            </w:r>
          </w:p>
        </w:tc>
        <w:tc>
          <w:tcPr>
            <w:tcW w:w="2552" w:type="dxa"/>
          </w:tcPr>
          <w:p w14:paraId="52590B0F"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6 years after post holder leaves employment</w:t>
            </w:r>
          </w:p>
        </w:tc>
        <w:tc>
          <w:tcPr>
            <w:tcW w:w="2519" w:type="dxa"/>
          </w:tcPr>
          <w:p w14:paraId="3D0A2E65"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Limitation Act 1980</w:t>
            </w:r>
          </w:p>
        </w:tc>
      </w:tr>
      <w:tr w:rsidR="00E44E0D" w14:paraId="40E6F50A" w14:textId="77777777" w:rsidTr="00376272">
        <w:tc>
          <w:tcPr>
            <w:tcW w:w="2135" w:type="dxa"/>
            <w:vMerge/>
            <w:tcBorders>
              <w:top w:val="nil"/>
              <w:left w:val="nil"/>
              <w:bottom w:val="nil"/>
              <w:right w:val="single" w:sz="4" w:space="0" w:color="auto"/>
            </w:tcBorders>
          </w:tcPr>
          <w:p w14:paraId="5B0A46B8" w14:textId="77777777" w:rsidR="00E44E0D" w:rsidRPr="00854D15" w:rsidRDefault="00E44E0D"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3447F0DD"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Applications forms and interview notes from unsuccessful candidates</w:t>
            </w:r>
          </w:p>
        </w:tc>
        <w:tc>
          <w:tcPr>
            <w:tcW w:w="2552" w:type="dxa"/>
          </w:tcPr>
          <w:p w14:paraId="46F016F7"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6 months - 1 year</w:t>
            </w:r>
          </w:p>
        </w:tc>
        <w:tc>
          <w:tcPr>
            <w:tcW w:w="2519" w:type="dxa"/>
          </w:tcPr>
          <w:p w14:paraId="03ADE2EB"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Equality Act 2015 / Limitation Act 1980</w:t>
            </w:r>
          </w:p>
        </w:tc>
      </w:tr>
      <w:tr w:rsidR="00E44E0D" w14:paraId="2F8C7C6C" w14:textId="77777777" w:rsidTr="00376272">
        <w:tc>
          <w:tcPr>
            <w:tcW w:w="2135" w:type="dxa"/>
            <w:vMerge/>
            <w:tcBorders>
              <w:top w:val="nil"/>
              <w:left w:val="nil"/>
              <w:bottom w:val="nil"/>
              <w:right w:val="single" w:sz="4" w:space="0" w:color="auto"/>
            </w:tcBorders>
          </w:tcPr>
          <w:p w14:paraId="775345CA" w14:textId="77777777" w:rsidR="00E44E0D" w:rsidRPr="00854D15" w:rsidRDefault="00E44E0D"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50A94952"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Information on disciplinary or grievance matters</w:t>
            </w:r>
          </w:p>
        </w:tc>
        <w:tc>
          <w:tcPr>
            <w:tcW w:w="2552" w:type="dxa"/>
          </w:tcPr>
          <w:p w14:paraId="096EC135"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6 years after post holder leaves employment</w:t>
            </w:r>
          </w:p>
        </w:tc>
        <w:tc>
          <w:tcPr>
            <w:tcW w:w="2519" w:type="dxa"/>
          </w:tcPr>
          <w:p w14:paraId="78F6CFBD"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Limitation Act 1980</w:t>
            </w:r>
          </w:p>
        </w:tc>
      </w:tr>
      <w:tr w:rsidR="00E44E0D" w14:paraId="124417C3" w14:textId="77777777" w:rsidTr="00376272">
        <w:tc>
          <w:tcPr>
            <w:tcW w:w="2135" w:type="dxa"/>
            <w:vMerge/>
            <w:tcBorders>
              <w:top w:val="nil"/>
              <w:left w:val="nil"/>
              <w:bottom w:val="nil"/>
              <w:right w:val="single" w:sz="4" w:space="0" w:color="auto"/>
            </w:tcBorders>
          </w:tcPr>
          <w:p w14:paraId="3B8E1154" w14:textId="77777777" w:rsidR="00E44E0D" w:rsidRPr="00854D15" w:rsidRDefault="00E44E0D"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543B920A"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Information of individual’s health and sickness record including adjustments made temporarily or permanently</w:t>
            </w:r>
          </w:p>
        </w:tc>
        <w:tc>
          <w:tcPr>
            <w:tcW w:w="2552" w:type="dxa"/>
          </w:tcPr>
          <w:p w14:paraId="0C5E7143"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6 years after post holder leaves employment</w:t>
            </w:r>
          </w:p>
        </w:tc>
        <w:tc>
          <w:tcPr>
            <w:tcW w:w="2519" w:type="dxa"/>
          </w:tcPr>
          <w:p w14:paraId="1E2BD2D6"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Limitation Act 1980</w:t>
            </w:r>
          </w:p>
        </w:tc>
      </w:tr>
      <w:tr w:rsidR="00E44E0D" w14:paraId="0F2AB6EE" w14:textId="77777777" w:rsidTr="00376272">
        <w:tc>
          <w:tcPr>
            <w:tcW w:w="2135" w:type="dxa"/>
            <w:vMerge/>
            <w:tcBorders>
              <w:top w:val="nil"/>
              <w:left w:val="nil"/>
              <w:bottom w:val="nil"/>
              <w:right w:val="single" w:sz="4" w:space="0" w:color="auto"/>
            </w:tcBorders>
          </w:tcPr>
          <w:p w14:paraId="59505A45" w14:textId="77777777" w:rsidR="00E44E0D" w:rsidRPr="00854D15" w:rsidRDefault="00E44E0D"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7AA3FF60"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Redundancy records</w:t>
            </w:r>
          </w:p>
        </w:tc>
        <w:tc>
          <w:tcPr>
            <w:tcW w:w="2552" w:type="dxa"/>
          </w:tcPr>
          <w:p w14:paraId="0088FED0"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6 years from redundancy date</w:t>
            </w:r>
          </w:p>
        </w:tc>
        <w:tc>
          <w:tcPr>
            <w:tcW w:w="2519" w:type="dxa"/>
          </w:tcPr>
          <w:p w14:paraId="22A42BA2"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Limitation Act 1980</w:t>
            </w:r>
          </w:p>
        </w:tc>
      </w:tr>
      <w:tr w:rsidR="00E44E0D" w14:paraId="21DB2BE7" w14:textId="77777777" w:rsidTr="00376272">
        <w:tc>
          <w:tcPr>
            <w:tcW w:w="2135" w:type="dxa"/>
            <w:vMerge/>
            <w:tcBorders>
              <w:top w:val="nil"/>
              <w:left w:val="nil"/>
              <w:bottom w:val="nil"/>
              <w:right w:val="single" w:sz="4" w:space="0" w:color="auto"/>
            </w:tcBorders>
          </w:tcPr>
          <w:p w14:paraId="74B8759A" w14:textId="77777777" w:rsidR="00E44E0D" w:rsidRPr="00854D15" w:rsidRDefault="00E44E0D"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638492C9"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Parental leave records</w:t>
            </w:r>
          </w:p>
        </w:tc>
        <w:tc>
          <w:tcPr>
            <w:tcW w:w="2552" w:type="dxa"/>
          </w:tcPr>
          <w:p w14:paraId="70001896"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18 years from date of birth of child</w:t>
            </w:r>
          </w:p>
        </w:tc>
        <w:tc>
          <w:tcPr>
            <w:tcW w:w="2519" w:type="dxa"/>
          </w:tcPr>
          <w:p w14:paraId="4EBC1E17"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To enable future employers to check entitlement</w:t>
            </w:r>
          </w:p>
        </w:tc>
      </w:tr>
      <w:tr w:rsidR="00E44E0D" w14:paraId="2ADD7AEA" w14:textId="77777777" w:rsidTr="00376272">
        <w:tc>
          <w:tcPr>
            <w:tcW w:w="2135" w:type="dxa"/>
            <w:vMerge/>
            <w:tcBorders>
              <w:top w:val="nil"/>
              <w:left w:val="nil"/>
              <w:bottom w:val="nil"/>
              <w:right w:val="single" w:sz="4" w:space="0" w:color="auto"/>
            </w:tcBorders>
          </w:tcPr>
          <w:p w14:paraId="703004B2" w14:textId="77777777" w:rsidR="00E44E0D" w:rsidRPr="00854D15" w:rsidRDefault="00E44E0D"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7D312150"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Statutory Maternity pay records, certificates</w:t>
            </w:r>
          </w:p>
        </w:tc>
        <w:tc>
          <w:tcPr>
            <w:tcW w:w="2552" w:type="dxa"/>
          </w:tcPr>
          <w:p w14:paraId="60D7F59E"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3 years after the end of the tax year in which maternity period ends</w:t>
            </w:r>
          </w:p>
        </w:tc>
        <w:tc>
          <w:tcPr>
            <w:tcW w:w="2519" w:type="dxa"/>
          </w:tcPr>
          <w:p w14:paraId="57F69C78"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Statutory Maternity Pay Regulations</w:t>
            </w:r>
          </w:p>
        </w:tc>
      </w:tr>
      <w:tr w:rsidR="00E44E0D" w14:paraId="452B8FE8" w14:textId="77777777" w:rsidTr="00376272">
        <w:tc>
          <w:tcPr>
            <w:tcW w:w="2135" w:type="dxa"/>
            <w:vMerge/>
            <w:tcBorders>
              <w:top w:val="nil"/>
              <w:left w:val="nil"/>
              <w:bottom w:val="nil"/>
              <w:right w:val="single" w:sz="4" w:space="0" w:color="auto"/>
            </w:tcBorders>
          </w:tcPr>
          <w:p w14:paraId="0DC13C40" w14:textId="77777777" w:rsidR="00E44E0D" w:rsidRPr="00854D15" w:rsidRDefault="00E44E0D"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4931238A"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 xml:space="preserve">Statutory Sick pay records, calculations, </w:t>
            </w:r>
            <w:proofErr w:type="spellStart"/>
            <w:r w:rsidRPr="00854D15">
              <w:rPr>
                <w:rFonts w:ascii="Calibri" w:eastAsia="Calibri" w:hAnsi="Calibri" w:cs="Calibri"/>
                <w:kern w:val="0"/>
                <w:sz w:val="20"/>
                <w:szCs w:val="20"/>
                <w14:ligatures w14:val="none"/>
              </w:rPr>
              <w:t>self certificates</w:t>
            </w:r>
            <w:proofErr w:type="spellEnd"/>
          </w:p>
        </w:tc>
        <w:tc>
          <w:tcPr>
            <w:tcW w:w="2552" w:type="dxa"/>
          </w:tcPr>
          <w:p w14:paraId="7D2D3920"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3 years after the end of each tax year for statutory sick pay purposes</w:t>
            </w:r>
          </w:p>
        </w:tc>
        <w:tc>
          <w:tcPr>
            <w:tcW w:w="2519" w:type="dxa"/>
          </w:tcPr>
          <w:p w14:paraId="4AF57237"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Statutory Sick Pay (General) Regulations</w:t>
            </w:r>
          </w:p>
        </w:tc>
      </w:tr>
      <w:tr w:rsidR="00E44E0D" w14:paraId="13CE7EE8" w14:textId="77777777" w:rsidTr="00FA2BB5">
        <w:tc>
          <w:tcPr>
            <w:tcW w:w="2135" w:type="dxa"/>
            <w:vMerge/>
            <w:tcBorders>
              <w:top w:val="nil"/>
              <w:left w:val="nil"/>
              <w:bottom w:val="single" w:sz="4" w:space="0" w:color="auto"/>
              <w:right w:val="single" w:sz="4" w:space="0" w:color="auto"/>
            </w:tcBorders>
          </w:tcPr>
          <w:p w14:paraId="333C8EA6" w14:textId="77777777" w:rsidR="00E44E0D" w:rsidRPr="00854D15" w:rsidRDefault="00E44E0D"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bottom w:val="single" w:sz="4" w:space="0" w:color="auto"/>
            </w:tcBorders>
          </w:tcPr>
          <w:p w14:paraId="35394834"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National Minimum Wage records</w:t>
            </w:r>
          </w:p>
        </w:tc>
        <w:tc>
          <w:tcPr>
            <w:tcW w:w="2552" w:type="dxa"/>
            <w:tcBorders>
              <w:bottom w:val="single" w:sz="4" w:space="0" w:color="auto"/>
            </w:tcBorders>
          </w:tcPr>
          <w:p w14:paraId="7193BAD2"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3 years after the pay period following the one the records cover</w:t>
            </w:r>
          </w:p>
        </w:tc>
        <w:tc>
          <w:tcPr>
            <w:tcW w:w="2519" w:type="dxa"/>
            <w:tcBorders>
              <w:bottom w:val="single" w:sz="4" w:space="0" w:color="auto"/>
            </w:tcBorders>
          </w:tcPr>
          <w:p w14:paraId="4B72F284" w14:textId="77777777" w:rsidR="00E44E0D" w:rsidRPr="00854D15" w:rsidRDefault="00E44E0D"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National Minimum Wage Act</w:t>
            </w:r>
          </w:p>
        </w:tc>
      </w:tr>
      <w:tr w:rsidR="00AB09A3" w14:paraId="058FE539" w14:textId="77777777" w:rsidTr="00FA2BB5">
        <w:tc>
          <w:tcPr>
            <w:tcW w:w="2135" w:type="dxa"/>
            <w:tcBorders>
              <w:bottom w:val="single" w:sz="4" w:space="0" w:color="auto"/>
              <w:right w:val="nil"/>
            </w:tcBorders>
            <w:shd w:val="clear" w:color="auto" w:fill="77206D" w:themeFill="accent5" w:themeFillShade="BF"/>
          </w:tcPr>
          <w:p w14:paraId="6E5C5584" w14:textId="48D1C34A" w:rsidR="00AB09A3" w:rsidRPr="00CF52C1" w:rsidRDefault="00EC21AE" w:rsidP="00854D15">
            <w:pPr>
              <w:pStyle w:val="NoSpacing"/>
              <w:jc w:val="center"/>
              <w:rPr>
                <w:rFonts w:cs="Calibri"/>
                <w:b/>
                <w:bCs/>
                <w:color w:val="FFFFFF" w:themeColor="background1"/>
                <w:sz w:val="24"/>
                <w:szCs w:val="24"/>
              </w:rPr>
            </w:pPr>
            <w:r w:rsidRPr="00CF52C1">
              <w:rPr>
                <w:rFonts w:ascii="Calibri" w:eastAsia="Calibri" w:hAnsi="Calibri" w:cs="Calibri"/>
                <w:b/>
                <w:bCs/>
                <w:color w:val="FFFFFF" w:themeColor="background1"/>
                <w:kern w:val="0"/>
                <w:sz w:val="24"/>
                <w:szCs w:val="24"/>
                <w14:ligatures w14:val="none"/>
              </w:rPr>
              <w:t>Payroll records</w:t>
            </w:r>
          </w:p>
        </w:tc>
        <w:tc>
          <w:tcPr>
            <w:tcW w:w="2422" w:type="dxa"/>
            <w:tcBorders>
              <w:left w:val="nil"/>
              <w:bottom w:val="single" w:sz="4" w:space="0" w:color="auto"/>
              <w:right w:val="nil"/>
            </w:tcBorders>
            <w:shd w:val="clear" w:color="auto" w:fill="77206D" w:themeFill="accent5" w:themeFillShade="BF"/>
          </w:tcPr>
          <w:p w14:paraId="67499A64" w14:textId="77777777" w:rsidR="00AB09A3" w:rsidRPr="00CF52C1" w:rsidRDefault="00AB09A3" w:rsidP="00EA4886">
            <w:pPr>
              <w:pStyle w:val="NoSpacing"/>
              <w:rPr>
                <w:rFonts w:cs="Calibri"/>
                <w:color w:val="FFFFFF" w:themeColor="background1"/>
                <w:sz w:val="20"/>
                <w:szCs w:val="20"/>
              </w:rPr>
            </w:pPr>
          </w:p>
        </w:tc>
        <w:tc>
          <w:tcPr>
            <w:tcW w:w="2552" w:type="dxa"/>
            <w:tcBorders>
              <w:left w:val="nil"/>
              <w:bottom w:val="single" w:sz="4" w:space="0" w:color="auto"/>
              <w:right w:val="nil"/>
            </w:tcBorders>
            <w:shd w:val="clear" w:color="auto" w:fill="77206D" w:themeFill="accent5" w:themeFillShade="BF"/>
          </w:tcPr>
          <w:p w14:paraId="0DB4EED5" w14:textId="77777777" w:rsidR="00AB09A3" w:rsidRPr="00CF52C1" w:rsidRDefault="00AB09A3" w:rsidP="00EA4886">
            <w:pPr>
              <w:pStyle w:val="NoSpacing"/>
              <w:rPr>
                <w:rFonts w:cs="Calibri"/>
                <w:color w:val="FFFFFF" w:themeColor="background1"/>
                <w:sz w:val="20"/>
                <w:szCs w:val="20"/>
              </w:rPr>
            </w:pPr>
          </w:p>
        </w:tc>
        <w:tc>
          <w:tcPr>
            <w:tcW w:w="2519" w:type="dxa"/>
            <w:tcBorders>
              <w:left w:val="nil"/>
              <w:bottom w:val="single" w:sz="4" w:space="0" w:color="auto"/>
            </w:tcBorders>
            <w:shd w:val="clear" w:color="auto" w:fill="77206D" w:themeFill="accent5" w:themeFillShade="BF"/>
          </w:tcPr>
          <w:p w14:paraId="713B288F" w14:textId="77777777" w:rsidR="00AB09A3" w:rsidRPr="00CF52C1" w:rsidRDefault="00AB09A3" w:rsidP="00EA4886">
            <w:pPr>
              <w:pStyle w:val="NoSpacing"/>
              <w:rPr>
                <w:rFonts w:cs="Calibri"/>
                <w:color w:val="FFFFFF" w:themeColor="background1"/>
                <w:sz w:val="20"/>
                <w:szCs w:val="20"/>
              </w:rPr>
            </w:pPr>
          </w:p>
        </w:tc>
      </w:tr>
      <w:tr w:rsidR="00EA4886" w14:paraId="379DF2A7" w14:textId="77777777" w:rsidTr="00FA2BB5">
        <w:tc>
          <w:tcPr>
            <w:tcW w:w="2135" w:type="dxa"/>
            <w:tcBorders>
              <w:top w:val="single" w:sz="4" w:space="0" w:color="auto"/>
              <w:left w:val="nil"/>
              <w:bottom w:val="nil"/>
              <w:right w:val="single" w:sz="4" w:space="0" w:color="auto"/>
            </w:tcBorders>
          </w:tcPr>
          <w:p w14:paraId="1B77ABC4"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top w:val="single" w:sz="4" w:space="0" w:color="auto"/>
              <w:left w:val="single" w:sz="4" w:space="0" w:color="auto"/>
            </w:tcBorders>
          </w:tcPr>
          <w:p w14:paraId="590548D5"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Payroll records including correspondence with HMRC</w:t>
            </w:r>
          </w:p>
        </w:tc>
        <w:tc>
          <w:tcPr>
            <w:tcW w:w="2552" w:type="dxa"/>
            <w:tcBorders>
              <w:top w:val="single" w:sz="4" w:space="0" w:color="auto"/>
            </w:tcBorders>
          </w:tcPr>
          <w:p w14:paraId="3AC7E9EC"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6 years from the end of the financial year the records relate to</w:t>
            </w:r>
          </w:p>
        </w:tc>
        <w:tc>
          <w:tcPr>
            <w:tcW w:w="2519" w:type="dxa"/>
            <w:tcBorders>
              <w:top w:val="single" w:sz="4" w:space="0" w:color="auto"/>
            </w:tcBorders>
          </w:tcPr>
          <w:p w14:paraId="2265D4B5"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Charities Act / HMRC rules</w:t>
            </w:r>
          </w:p>
        </w:tc>
      </w:tr>
      <w:tr w:rsidR="00EA4886" w14:paraId="0BDEF221" w14:textId="77777777" w:rsidTr="00FA2BB5">
        <w:tc>
          <w:tcPr>
            <w:tcW w:w="2135" w:type="dxa"/>
            <w:tcBorders>
              <w:top w:val="nil"/>
              <w:left w:val="nil"/>
              <w:bottom w:val="nil"/>
              <w:right w:val="single" w:sz="4" w:space="0" w:color="auto"/>
            </w:tcBorders>
          </w:tcPr>
          <w:p w14:paraId="4172D4C6"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6D597D2E"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Income Tax records</w:t>
            </w:r>
          </w:p>
        </w:tc>
        <w:tc>
          <w:tcPr>
            <w:tcW w:w="2552" w:type="dxa"/>
          </w:tcPr>
          <w:p w14:paraId="1D2431F8"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6 years from the end of the financial year the records relate to</w:t>
            </w:r>
          </w:p>
        </w:tc>
        <w:tc>
          <w:tcPr>
            <w:tcW w:w="2519" w:type="dxa"/>
          </w:tcPr>
          <w:p w14:paraId="109DAC12"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Taxes Management Act</w:t>
            </w:r>
          </w:p>
        </w:tc>
      </w:tr>
      <w:tr w:rsidR="00EA4886" w14:paraId="7CBA6FF3" w14:textId="77777777" w:rsidTr="00FA2BB5">
        <w:tc>
          <w:tcPr>
            <w:tcW w:w="2135" w:type="dxa"/>
            <w:tcBorders>
              <w:top w:val="nil"/>
              <w:left w:val="nil"/>
              <w:bottom w:val="nil"/>
              <w:right w:val="single" w:sz="4" w:space="0" w:color="auto"/>
            </w:tcBorders>
          </w:tcPr>
          <w:p w14:paraId="02FB8953"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bottom w:val="single" w:sz="4" w:space="0" w:color="auto"/>
            </w:tcBorders>
          </w:tcPr>
          <w:p w14:paraId="06CFE483"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Pensions records</w:t>
            </w:r>
          </w:p>
        </w:tc>
        <w:tc>
          <w:tcPr>
            <w:tcW w:w="2552" w:type="dxa"/>
            <w:tcBorders>
              <w:bottom w:val="single" w:sz="4" w:space="0" w:color="auto"/>
            </w:tcBorders>
          </w:tcPr>
          <w:p w14:paraId="707E2146"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According to schedule set by pension provider</w:t>
            </w:r>
          </w:p>
        </w:tc>
        <w:tc>
          <w:tcPr>
            <w:tcW w:w="2519" w:type="dxa"/>
            <w:tcBorders>
              <w:bottom w:val="single" w:sz="4" w:space="0" w:color="auto"/>
            </w:tcBorders>
          </w:tcPr>
          <w:p w14:paraId="31CF674B"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Pensions Act</w:t>
            </w:r>
          </w:p>
        </w:tc>
      </w:tr>
      <w:tr w:rsidR="00AB09A3" w14:paraId="2FD01013" w14:textId="77777777" w:rsidTr="00FA2BB5">
        <w:tc>
          <w:tcPr>
            <w:tcW w:w="2135" w:type="dxa"/>
            <w:tcBorders>
              <w:top w:val="nil"/>
              <w:bottom w:val="single" w:sz="4" w:space="0" w:color="auto"/>
              <w:right w:val="nil"/>
            </w:tcBorders>
            <w:shd w:val="clear" w:color="auto" w:fill="77206D" w:themeFill="accent5" w:themeFillShade="BF"/>
          </w:tcPr>
          <w:p w14:paraId="0E4341A0" w14:textId="5FB5A06C" w:rsidR="00AB09A3" w:rsidRPr="00CF52C1" w:rsidRDefault="00EC21AE" w:rsidP="00CF52C1">
            <w:pPr>
              <w:pStyle w:val="NoSpacing"/>
              <w:spacing w:line="240" w:lineRule="auto"/>
              <w:jc w:val="center"/>
              <w:rPr>
                <w:rFonts w:cs="Calibri"/>
                <w:b/>
                <w:bCs/>
                <w:color w:val="FFFFFF" w:themeColor="background1"/>
                <w:sz w:val="24"/>
                <w:szCs w:val="24"/>
              </w:rPr>
            </w:pPr>
            <w:r w:rsidRPr="00CF52C1">
              <w:rPr>
                <w:rFonts w:ascii="Calibri" w:eastAsia="Calibri" w:hAnsi="Calibri" w:cs="Calibri"/>
                <w:b/>
                <w:bCs/>
                <w:color w:val="FFFFFF" w:themeColor="background1"/>
                <w:kern w:val="0"/>
                <w:sz w:val="24"/>
                <w:szCs w:val="24"/>
                <w14:ligatures w14:val="none"/>
              </w:rPr>
              <w:t>Safeguarding records</w:t>
            </w:r>
          </w:p>
        </w:tc>
        <w:tc>
          <w:tcPr>
            <w:tcW w:w="2422" w:type="dxa"/>
            <w:tcBorders>
              <w:left w:val="nil"/>
              <w:bottom w:val="single" w:sz="4" w:space="0" w:color="auto"/>
              <w:right w:val="nil"/>
            </w:tcBorders>
            <w:shd w:val="clear" w:color="auto" w:fill="77206D" w:themeFill="accent5" w:themeFillShade="BF"/>
          </w:tcPr>
          <w:p w14:paraId="4539620E" w14:textId="77777777" w:rsidR="00AB09A3" w:rsidRPr="00CF52C1" w:rsidRDefault="00AB09A3" w:rsidP="00CF52C1">
            <w:pPr>
              <w:pStyle w:val="NoSpacing"/>
              <w:spacing w:line="240" w:lineRule="auto"/>
              <w:rPr>
                <w:rFonts w:cs="Calibri"/>
                <w:color w:val="FFFFFF" w:themeColor="background1"/>
                <w:sz w:val="20"/>
                <w:szCs w:val="20"/>
              </w:rPr>
            </w:pPr>
          </w:p>
        </w:tc>
        <w:tc>
          <w:tcPr>
            <w:tcW w:w="2552" w:type="dxa"/>
            <w:tcBorders>
              <w:left w:val="nil"/>
              <w:bottom w:val="single" w:sz="4" w:space="0" w:color="auto"/>
              <w:right w:val="nil"/>
            </w:tcBorders>
            <w:shd w:val="clear" w:color="auto" w:fill="77206D" w:themeFill="accent5" w:themeFillShade="BF"/>
          </w:tcPr>
          <w:p w14:paraId="45737F23" w14:textId="77777777" w:rsidR="00AB09A3" w:rsidRPr="00CF52C1" w:rsidRDefault="00AB09A3" w:rsidP="00CF52C1">
            <w:pPr>
              <w:pStyle w:val="NoSpacing"/>
              <w:spacing w:line="240" w:lineRule="auto"/>
              <w:rPr>
                <w:rFonts w:cs="Calibri"/>
                <w:color w:val="FFFFFF" w:themeColor="background1"/>
                <w:sz w:val="20"/>
                <w:szCs w:val="20"/>
              </w:rPr>
            </w:pPr>
          </w:p>
        </w:tc>
        <w:tc>
          <w:tcPr>
            <w:tcW w:w="2519" w:type="dxa"/>
            <w:tcBorders>
              <w:left w:val="nil"/>
              <w:bottom w:val="single" w:sz="4" w:space="0" w:color="auto"/>
            </w:tcBorders>
            <w:shd w:val="clear" w:color="auto" w:fill="77206D" w:themeFill="accent5" w:themeFillShade="BF"/>
          </w:tcPr>
          <w:p w14:paraId="7AE14990" w14:textId="77777777" w:rsidR="00AB09A3" w:rsidRPr="00CF52C1" w:rsidRDefault="00AB09A3" w:rsidP="00CF52C1">
            <w:pPr>
              <w:pStyle w:val="NoSpacing"/>
              <w:spacing w:line="240" w:lineRule="auto"/>
              <w:rPr>
                <w:rFonts w:cs="Calibri"/>
                <w:color w:val="FFFFFF" w:themeColor="background1"/>
                <w:sz w:val="20"/>
                <w:szCs w:val="20"/>
              </w:rPr>
            </w:pPr>
          </w:p>
        </w:tc>
      </w:tr>
      <w:tr w:rsidR="00EA4886" w14:paraId="3F9716F3" w14:textId="77777777" w:rsidTr="00FA2BB5">
        <w:tc>
          <w:tcPr>
            <w:tcW w:w="2135" w:type="dxa"/>
            <w:tcBorders>
              <w:top w:val="single" w:sz="4" w:space="0" w:color="auto"/>
              <w:left w:val="nil"/>
              <w:bottom w:val="nil"/>
              <w:right w:val="single" w:sz="4" w:space="0" w:color="auto"/>
            </w:tcBorders>
          </w:tcPr>
          <w:p w14:paraId="1D7124F6"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top w:val="single" w:sz="4" w:space="0" w:color="auto"/>
              <w:left w:val="single" w:sz="4" w:space="0" w:color="auto"/>
            </w:tcBorders>
          </w:tcPr>
          <w:p w14:paraId="18A3C55D"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Safeguarding concerns or disclosures related to a child</w:t>
            </w:r>
          </w:p>
        </w:tc>
        <w:tc>
          <w:tcPr>
            <w:tcW w:w="2552" w:type="dxa"/>
            <w:tcBorders>
              <w:top w:val="single" w:sz="4" w:space="0" w:color="auto"/>
            </w:tcBorders>
          </w:tcPr>
          <w:p w14:paraId="5DD74C03"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Varied recommendations:</w:t>
            </w:r>
          </w:p>
          <w:p w14:paraId="278BF704"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Until the child is 25 years</w:t>
            </w:r>
          </w:p>
          <w:p w14:paraId="3F902BD2" w14:textId="77777777" w:rsidR="00EA4886" w:rsidRPr="00854D15" w:rsidRDefault="00EA4886" w:rsidP="00EA4886">
            <w:pPr>
              <w:pStyle w:val="NoSpacing"/>
              <w:autoSpaceDN w:val="0"/>
              <w:rPr>
                <w:rFonts w:ascii="Calibri" w:eastAsia="Calibri" w:hAnsi="Calibri" w:cs="Calibri"/>
                <w:kern w:val="0"/>
                <w:sz w:val="20"/>
                <w:szCs w:val="20"/>
                <w14:ligatures w14:val="none"/>
              </w:rPr>
            </w:pPr>
          </w:p>
          <w:p w14:paraId="18EDE930"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75 years</w:t>
            </w:r>
          </w:p>
          <w:p w14:paraId="7A179E5E" w14:textId="77777777" w:rsidR="00EA4886" w:rsidRPr="00854D15" w:rsidRDefault="00EA4886" w:rsidP="00EA4886">
            <w:pPr>
              <w:pStyle w:val="NoSpacing"/>
              <w:autoSpaceDN w:val="0"/>
              <w:rPr>
                <w:rFonts w:ascii="Calibri" w:eastAsia="Calibri" w:hAnsi="Calibri" w:cs="Calibri"/>
                <w:kern w:val="0"/>
                <w:sz w:val="20"/>
                <w:szCs w:val="20"/>
                <w14:ligatures w14:val="none"/>
              </w:rPr>
            </w:pPr>
          </w:p>
          <w:p w14:paraId="7723645F" w14:textId="77777777" w:rsidR="00EA4886" w:rsidRPr="00854D15" w:rsidRDefault="00EA4886" w:rsidP="00EA4886">
            <w:pPr>
              <w:pStyle w:val="NoSpacing"/>
              <w:autoSpaceDN w:val="0"/>
              <w:rPr>
                <w:rFonts w:ascii="Calibri" w:eastAsia="Calibri" w:hAnsi="Calibri" w:cs="Calibri"/>
                <w:kern w:val="0"/>
                <w:sz w:val="20"/>
                <w:szCs w:val="20"/>
                <w14:ligatures w14:val="none"/>
              </w:rPr>
            </w:pPr>
          </w:p>
          <w:p w14:paraId="23CE83D4"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Needs to consider principle of no longer than necessary, but recognising that historical allegations and issues are frequently being exposed and investigated</w:t>
            </w:r>
          </w:p>
          <w:p w14:paraId="44A42479"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Some insurance companies stipulate a minimum</w:t>
            </w:r>
          </w:p>
        </w:tc>
        <w:tc>
          <w:tcPr>
            <w:tcW w:w="2519" w:type="dxa"/>
            <w:tcBorders>
              <w:top w:val="single" w:sz="4" w:space="0" w:color="auto"/>
            </w:tcBorders>
          </w:tcPr>
          <w:p w14:paraId="7C1A8E30"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NSPCC / Records Management Society</w:t>
            </w:r>
          </w:p>
          <w:p w14:paraId="21CDB1D6"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Some denominations - following IICSA 2015 recommendations</w:t>
            </w:r>
          </w:p>
          <w:p w14:paraId="6B2C35E2" w14:textId="77777777" w:rsidR="00EA4886" w:rsidRPr="00854D15" w:rsidRDefault="00EA4886" w:rsidP="00EA4886">
            <w:pPr>
              <w:pStyle w:val="NoSpacing"/>
              <w:autoSpaceDN w:val="0"/>
              <w:rPr>
                <w:rFonts w:ascii="Calibri" w:eastAsia="Calibri" w:hAnsi="Calibri" w:cs="Calibri"/>
                <w:kern w:val="0"/>
                <w:sz w:val="20"/>
                <w:szCs w:val="20"/>
                <w14:ligatures w14:val="none"/>
              </w:rPr>
            </w:pPr>
          </w:p>
          <w:p w14:paraId="1A1C0276"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Christian Safeguarding Services suggest child reaching 25 years old is minimum</w:t>
            </w:r>
          </w:p>
        </w:tc>
      </w:tr>
      <w:tr w:rsidR="00EA4886" w14:paraId="7104E9F9" w14:textId="77777777" w:rsidTr="00FA2BB5">
        <w:tc>
          <w:tcPr>
            <w:tcW w:w="2135" w:type="dxa"/>
            <w:tcBorders>
              <w:top w:val="nil"/>
              <w:left w:val="nil"/>
              <w:bottom w:val="nil"/>
              <w:right w:val="single" w:sz="4" w:space="0" w:color="auto"/>
            </w:tcBorders>
          </w:tcPr>
          <w:p w14:paraId="225836F4"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2D40FDD7"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 xml:space="preserve">Safeguarding concern related to </w:t>
            </w:r>
            <w:proofErr w:type="gramStart"/>
            <w:r w:rsidRPr="00854D15">
              <w:rPr>
                <w:rFonts w:ascii="Calibri" w:eastAsia="Calibri" w:hAnsi="Calibri" w:cs="Calibri"/>
                <w:kern w:val="0"/>
                <w:sz w:val="20"/>
                <w:szCs w:val="20"/>
                <w14:ligatures w14:val="none"/>
              </w:rPr>
              <w:t>adults</w:t>
            </w:r>
            <w:proofErr w:type="gramEnd"/>
            <w:r w:rsidRPr="00854D15">
              <w:rPr>
                <w:rFonts w:ascii="Calibri" w:eastAsia="Calibri" w:hAnsi="Calibri" w:cs="Calibri"/>
                <w:kern w:val="0"/>
                <w:sz w:val="20"/>
                <w:szCs w:val="20"/>
                <w14:ligatures w14:val="none"/>
              </w:rPr>
              <w:t xml:space="preserve"> behaviour</w:t>
            </w:r>
          </w:p>
        </w:tc>
        <w:tc>
          <w:tcPr>
            <w:tcW w:w="2552" w:type="dxa"/>
          </w:tcPr>
          <w:p w14:paraId="3156FAB9"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Until the individual is retirement age or 10 years whichever is the longer</w:t>
            </w:r>
          </w:p>
          <w:p w14:paraId="70DD47F9" w14:textId="77777777" w:rsidR="00EA4886" w:rsidRPr="00854D15" w:rsidRDefault="00EA4886" w:rsidP="00EA4886">
            <w:pPr>
              <w:pStyle w:val="NoSpacing"/>
              <w:autoSpaceDN w:val="0"/>
              <w:rPr>
                <w:rFonts w:ascii="Calibri" w:eastAsia="Calibri" w:hAnsi="Calibri" w:cs="Calibri"/>
                <w:kern w:val="0"/>
                <w:sz w:val="20"/>
                <w:szCs w:val="20"/>
                <w14:ligatures w14:val="none"/>
              </w:rPr>
            </w:pPr>
          </w:p>
          <w:p w14:paraId="741F0135"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Some insurance companies stipulate a minimum</w:t>
            </w:r>
          </w:p>
        </w:tc>
        <w:tc>
          <w:tcPr>
            <w:tcW w:w="2519" w:type="dxa"/>
          </w:tcPr>
          <w:p w14:paraId="647E41DE"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RMS, 2019</w:t>
            </w:r>
          </w:p>
          <w:p w14:paraId="5AB1C5FA" w14:textId="77777777" w:rsidR="00EA4886" w:rsidRPr="00854D15" w:rsidRDefault="00EA4886" w:rsidP="00EA4886">
            <w:pPr>
              <w:pStyle w:val="NoSpacing"/>
              <w:autoSpaceDN w:val="0"/>
              <w:rPr>
                <w:rFonts w:ascii="Calibri" w:eastAsia="Calibri" w:hAnsi="Calibri" w:cs="Calibri"/>
                <w:kern w:val="0"/>
                <w:sz w:val="20"/>
                <w:szCs w:val="20"/>
                <w14:ligatures w14:val="none"/>
              </w:rPr>
            </w:pPr>
          </w:p>
        </w:tc>
      </w:tr>
      <w:tr w:rsidR="00EA4886" w14:paraId="3CCFC1A2" w14:textId="77777777" w:rsidTr="00FA2BB5">
        <w:tc>
          <w:tcPr>
            <w:tcW w:w="2135" w:type="dxa"/>
            <w:tcBorders>
              <w:top w:val="nil"/>
              <w:left w:val="nil"/>
              <w:bottom w:val="nil"/>
              <w:right w:val="single" w:sz="4" w:space="0" w:color="auto"/>
            </w:tcBorders>
          </w:tcPr>
          <w:p w14:paraId="6490F3B6"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27E26981"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Registers of attendance at groups for children / adults at risk</w:t>
            </w:r>
          </w:p>
        </w:tc>
        <w:tc>
          <w:tcPr>
            <w:tcW w:w="2552" w:type="dxa"/>
          </w:tcPr>
          <w:p w14:paraId="33F65248"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 xml:space="preserve">Minimum of 3 years </w:t>
            </w:r>
          </w:p>
          <w:p w14:paraId="0BBF5486" w14:textId="77777777" w:rsidR="00EA4886" w:rsidRPr="00854D15" w:rsidRDefault="00EA4886" w:rsidP="00EA4886">
            <w:pPr>
              <w:pStyle w:val="NoSpacing"/>
              <w:autoSpaceDN w:val="0"/>
              <w:rPr>
                <w:rFonts w:ascii="Calibri" w:eastAsia="Calibri" w:hAnsi="Calibri" w:cs="Calibri"/>
                <w:kern w:val="0"/>
                <w:sz w:val="20"/>
                <w:szCs w:val="20"/>
                <w14:ligatures w14:val="none"/>
              </w:rPr>
            </w:pPr>
          </w:p>
          <w:p w14:paraId="461A4D48"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Needs to consider principle of no longer than necessary, but recognising that historical allegations and issues are frequently being exposed and investigated and registers show who (adults and children) was present on any given date.</w:t>
            </w:r>
          </w:p>
          <w:p w14:paraId="7A138A43" w14:textId="77777777" w:rsidR="00EA4886" w:rsidRPr="00854D15" w:rsidRDefault="00EA4886" w:rsidP="00EA4886">
            <w:pPr>
              <w:pStyle w:val="NoSpacing"/>
              <w:autoSpaceDN w:val="0"/>
              <w:rPr>
                <w:rFonts w:ascii="Calibri" w:eastAsia="Calibri" w:hAnsi="Calibri" w:cs="Calibri"/>
                <w:kern w:val="0"/>
                <w:sz w:val="20"/>
                <w:szCs w:val="20"/>
                <w14:ligatures w14:val="none"/>
              </w:rPr>
            </w:pPr>
          </w:p>
          <w:p w14:paraId="5AAC14A4"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Some insurance companies stipulate a minimum</w:t>
            </w:r>
          </w:p>
          <w:p w14:paraId="16A0AB6D" w14:textId="77777777" w:rsidR="00EA4886" w:rsidRPr="00854D15" w:rsidRDefault="00EA4886" w:rsidP="00EA4886">
            <w:pPr>
              <w:pStyle w:val="NoSpacing"/>
              <w:autoSpaceDN w:val="0"/>
              <w:rPr>
                <w:rFonts w:ascii="Calibri" w:eastAsia="Calibri" w:hAnsi="Calibri" w:cs="Calibri"/>
                <w:kern w:val="0"/>
                <w:sz w:val="20"/>
                <w:szCs w:val="20"/>
                <w14:ligatures w14:val="none"/>
              </w:rPr>
            </w:pPr>
          </w:p>
        </w:tc>
        <w:tc>
          <w:tcPr>
            <w:tcW w:w="2519" w:type="dxa"/>
          </w:tcPr>
          <w:p w14:paraId="2CDD31E4"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Christian Safeguarding Services</w:t>
            </w:r>
          </w:p>
        </w:tc>
      </w:tr>
      <w:tr w:rsidR="00EA4886" w14:paraId="56884DEF" w14:textId="77777777" w:rsidTr="00FA2BB5">
        <w:tc>
          <w:tcPr>
            <w:tcW w:w="2135" w:type="dxa"/>
            <w:tcBorders>
              <w:top w:val="nil"/>
              <w:left w:val="nil"/>
              <w:bottom w:val="nil"/>
              <w:right w:val="single" w:sz="4" w:space="0" w:color="auto"/>
            </w:tcBorders>
          </w:tcPr>
          <w:p w14:paraId="09443A79"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bottom w:val="single" w:sz="4" w:space="0" w:color="auto"/>
            </w:tcBorders>
          </w:tcPr>
          <w:p w14:paraId="1983E689"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Parent / carer consent forms</w:t>
            </w:r>
          </w:p>
        </w:tc>
        <w:tc>
          <w:tcPr>
            <w:tcW w:w="2552" w:type="dxa"/>
            <w:tcBorders>
              <w:bottom w:val="single" w:sz="4" w:space="0" w:color="auto"/>
            </w:tcBorders>
          </w:tcPr>
          <w:p w14:paraId="742FE08C"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For general attendance at a group should be retained until child leaves group (unless there was a safeguarding incident or concern)</w:t>
            </w:r>
          </w:p>
          <w:p w14:paraId="6BC63F56" w14:textId="77777777" w:rsidR="00EA4886" w:rsidRPr="00854D15" w:rsidRDefault="00EA4886" w:rsidP="00EA4886">
            <w:pPr>
              <w:pStyle w:val="NoSpacing"/>
              <w:autoSpaceDN w:val="0"/>
              <w:rPr>
                <w:rFonts w:ascii="Calibri" w:eastAsia="Calibri" w:hAnsi="Calibri" w:cs="Calibri"/>
                <w:kern w:val="0"/>
                <w:sz w:val="20"/>
                <w:szCs w:val="20"/>
                <w14:ligatures w14:val="none"/>
              </w:rPr>
            </w:pPr>
          </w:p>
          <w:p w14:paraId="2F78B669"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For specific event consent (</w:t>
            </w:r>
            <w:proofErr w:type="spellStart"/>
            <w:r w:rsidRPr="00854D15">
              <w:rPr>
                <w:rFonts w:ascii="Calibri" w:eastAsia="Calibri" w:hAnsi="Calibri" w:cs="Calibri"/>
                <w:kern w:val="0"/>
                <w:sz w:val="20"/>
                <w:szCs w:val="20"/>
                <w14:ligatures w14:val="none"/>
              </w:rPr>
              <w:t>eg</w:t>
            </w:r>
            <w:proofErr w:type="spellEnd"/>
            <w:r w:rsidRPr="00854D15">
              <w:rPr>
                <w:rFonts w:ascii="Calibri" w:eastAsia="Calibri" w:hAnsi="Calibri" w:cs="Calibri"/>
                <w:kern w:val="0"/>
                <w:sz w:val="20"/>
                <w:szCs w:val="20"/>
                <w14:ligatures w14:val="none"/>
              </w:rPr>
              <w:t xml:space="preserve"> a trip) does not need to be retained beyond the event unless an incident occurs</w:t>
            </w:r>
          </w:p>
          <w:p w14:paraId="44FAB0D6" w14:textId="77777777" w:rsidR="00EA4886" w:rsidRPr="00854D15" w:rsidRDefault="00EA4886" w:rsidP="00EA4886">
            <w:pPr>
              <w:pStyle w:val="NoSpacing"/>
              <w:autoSpaceDN w:val="0"/>
              <w:rPr>
                <w:rFonts w:ascii="Calibri" w:eastAsia="Calibri" w:hAnsi="Calibri" w:cs="Calibri"/>
                <w:kern w:val="0"/>
                <w:sz w:val="20"/>
                <w:szCs w:val="20"/>
                <w14:ligatures w14:val="none"/>
              </w:rPr>
            </w:pPr>
          </w:p>
          <w:p w14:paraId="605EE1A6" w14:textId="77777777" w:rsidR="00EA4886" w:rsidRPr="00854D15" w:rsidRDefault="00EA4886" w:rsidP="00EA4886">
            <w:pPr>
              <w:pStyle w:val="NoSpacing"/>
              <w:autoSpaceDN w:val="0"/>
              <w:rPr>
                <w:rFonts w:ascii="Calibri" w:eastAsia="Calibri" w:hAnsi="Calibri" w:cs="Calibri"/>
                <w:kern w:val="0"/>
                <w:sz w:val="20"/>
                <w:szCs w:val="20"/>
                <w14:ligatures w14:val="none"/>
              </w:rPr>
            </w:pPr>
          </w:p>
          <w:p w14:paraId="33038A54"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Some insurance companies stipulate a minimum</w:t>
            </w:r>
          </w:p>
        </w:tc>
        <w:tc>
          <w:tcPr>
            <w:tcW w:w="2519" w:type="dxa"/>
            <w:tcBorders>
              <w:bottom w:val="single" w:sz="4" w:space="0" w:color="auto"/>
            </w:tcBorders>
          </w:tcPr>
          <w:p w14:paraId="29DE7702"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Christian Safeguarding Services</w:t>
            </w:r>
          </w:p>
        </w:tc>
      </w:tr>
      <w:tr w:rsidR="00AB09A3" w14:paraId="2B07BC4E" w14:textId="77777777" w:rsidTr="00FA2BB5">
        <w:tc>
          <w:tcPr>
            <w:tcW w:w="2135" w:type="dxa"/>
            <w:tcBorders>
              <w:top w:val="nil"/>
              <w:bottom w:val="single" w:sz="4" w:space="0" w:color="auto"/>
              <w:right w:val="nil"/>
            </w:tcBorders>
            <w:shd w:val="clear" w:color="auto" w:fill="77206D" w:themeFill="accent5" w:themeFillShade="BF"/>
          </w:tcPr>
          <w:p w14:paraId="33C46D5E" w14:textId="766B2CA9" w:rsidR="00AB09A3" w:rsidRPr="006217AF" w:rsidRDefault="00EC21AE" w:rsidP="00FA2BB5">
            <w:pPr>
              <w:pStyle w:val="NoSpacing"/>
              <w:spacing w:line="240" w:lineRule="auto"/>
              <w:jc w:val="center"/>
              <w:rPr>
                <w:rFonts w:cs="Calibri"/>
                <w:b/>
                <w:bCs/>
                <w:color w:val="FFFFFF" w:themeColor="background1"/>
                <w:sz w:val="24"/>
                <w:szCs w:val="24"/>
              </w:rPr>
            </w:pPr>
            <w:r w:rsidRPr="006217AF">
              <w:rPr>
                <w:rFonts w:ascii="Calibri" w:eastAsia="Calibri" w:hAnsi="Calibri" w:cs="Calibri"/>
                <w:b/>
                <w:bCs/>
                <w:color w:val="FFFFFF" w:themeColor="background1"/>
                <w:kern w:val="0"/>
                <w:sz w:val="24"/>
                <w:szCs w:val="24"/>
                <w14:ligatures w14:val="none"/>
              </w:rPr>
              <w:t>Health and safety records</w:t>
            </w:r>
          </w:p>
        </w:tc>
        <w:tc>
          <w:tcPr>
            <w:tcW w:w="2422" w:type="dxa"/>
            <w:tcBorders>
              <w:left w:val="nil"/>
              <w:bottom w:val="single" w:sz="4" w:space="0" w:color="auto"/>
              <w:right w:val="nil"/>
            </w:tcBorders>
            <w:shd w:val="clear" w:color="auto" w:fill="77206D" w:themeFill="accent5" w:themeFillShade="BF"/>
          </w:tcPr>
          <w:p w14:paraId="11A475A9" w14:textId="77777777" w:rsidR="00AB09A3" w:rsidRPr="006217AF" w:rsidRDefault="00AB09A3" w:rsidP="00FA2BB5">
            <w:pPr>
              <w:pStyle w:val="NoSpacing"/>
              <w:spacing w:line="240" w:lineRule="auto"/>
              <w:rPr>
                <w:rFonts w:cs="Calibri"/>
                <w:color w:val="FFFFFF" w:themeColor="background1"/>
                <w:sz w:val="20"/>
                <w:szCs w:val="20"/>
              </w:rPr>
            </w:pPr>
          </w:p>
        </w:tc>
        <w:tc>
          <w:tcPr>
            <w:tcW w:w="2552" w:type="dxa"/>
            <w:tcBorders>
              <w:left w:val="nil"/>
              <w:bottom w:val="single" w:sz="4" w:space="0" w:color="auto"/>
              <w:right w:val="nil"/>
            </w:tcBorders>
            <w:shd w:val="clear" w:color="auto" w:fill="77206D" w:themeFill="accent5" w:themeFillShade="BF"/>
          </w:tcPr>
          <w:p w14:paraId="6D4284F2" w14:textId="77777777" w:rsidR="00AB09A3" w:rsidRPr="006217AF" w:rsidRDefault="00AB09A3" w:rsidP="00FA2BB5">
            <w:pPr>
              <w:pStyle w:val="NoSpacing"/>
              <w:spacing w:line="240" w:lineRule="auto"/>
              <w:rPr>
                <w:rFonts w:cs="Calibri"/>
                <w:color w:val="FFFFFF" w:themeColor="background1"/>
                <w:sz w:val="20"/>
                <w:szCs w:val="20"/>
              </w:rPr>
            </w:pPr>
          </w:p>
        </w:tc>
        <w:tc>
          <w:tcPr>
            <w:tcW w:w="2519" w:type="dxa"/>
            <w:tcBorders>
              <w:left w:val="nil"/>
              <w:bottom w:val="single" w:sz="4" w:space="0" w:color="auto"/>
            </w:tcBorders>
            <w:shd w:val="clear" w:color="auto" w:fill="77206D" w:themeFill="accent5" w:themeFillShade="BF"/>
          </w:tcPr>
          <w:p w14:paraId="2BF32CBB" w14:textId="77777777" w:rsidR="00AB09A3" w:rsidRPr="006217AF" w:rsidRDefault="00AB09A3" w:rsidP="00FA2BB5">
            <w:pPr>
              <w:pStyle w:val="NoSpacing"/>
              <w:spacing w:line="240" w:lineRule="auto"/>
              <w:rPr>
                <w:rFonts w:cs="Calibri"/>
                <w:color w:val="FFFFFF" w:themeColor="background1"/>
                <w:sz w:val="20"/>
                <w:szCs w:val="20"/>
              </w:rPr>
            </w:pPr>
          </w:p>
        </w:tc>
      </w:tr>
      <w:tr w:rsidR="00EA4886" w14:paraId="38B0F373" w14:textId="77777777" w:rsidTr="00FA2BB5">
        <w:tc>
          <w:tcPr>
            <w:tcW w:w="2135" w:type="dxa"/>
            <w:tcBorders>
              <w:top w:val="single" w:sz="4" w:space="0" w:color="auto"/>
              <w:left w:val="nil"/>
              <w:bottom w:val="nil"/>
              <w:right w:val="single" w:sz="4" w:space="0" w:color="auto"/>
            </w:tcBorders>
          </w:tcPr>
          <w:p w14:paraId="6979564E"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top w:val="single" w:sz="4" w:space="0" w:color="auto"/>
              <w:left w:val="single" w:sz="4" w:space="0" w:color="auto"/>
              <w:bottom w:val="single" w:sz="4" w:space="0" w:color="auto"/>
            </w:tcBorders>
          </w:tcPr>
          <w:p w14:paraId="6EF0E266"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Reportable accidents / incidents</w:t>
            </w:r>
          </w:p>
        </w:tc>
        <w:tc>
          <w:tcPr>
            <w:tcW w:w="2552" w:type="dxa"/>
            <w:tcBorders>
              <w:top w:val="single" w:sz="4" w:space="0" w:color="auto"/>
              <w:bottom w:val="single" w:sz="4" w:space="0" w:color="auto"/>
            </w:tcBorders>
          </w:tcPr>
          <w:p w14:paraId="2A2A4AC2"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3 years unless hazardous substances involved when permanently</w:t>
            </w:r>
          </w:p>
        </w:tc>
        <w:tc>
          <w:tcPr>
            <w:tcW w:w="2519" w:type="dxa"/>
            <w:tcBorders>
              <w:top w:val="single" w:sz="4" w:space="0" w:color="auto"/>
              <w:bottom w:val="single" w:sz="4" w:space="0" w:color="auto"/>
            </w:tcBorders>
          </w:tcPr>
          <w:p w14:paraId="3382B6F0"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RIDDOR  / COSHH regulations</w:t>
            </w:r>
          </w:p>
        </w:tc>
      </w:tr>
      <w:tr w:rsidR="00B43D94" w14:paraId="17ADEEC3" w14:textId="77777777" w:rsidTr="00FA2BB5">
        <w:tc>
          <w:tcPr>
            <w:tcW w:w="2135" w:type="dxa"/>
            <w:tcBorders>
              <w:top w:val="nil"/>
              <w:bottom w:val="single" w:sz="4" w:space="0" w:color="auto"/>
              <w:right w:val="nil"/>
            </w:tcBorders>
            <w:shd w:val="clear" w:color="auto" w:fill="77206D" w:themeFill="accent5" w:themeFillShade="BF"/>
          </w:tcPr>
          <w:p w14:paraId="2127FA76" w14:textId="1BFFCCC1" w:rsidR="00B43D94" w:rsidRPr="00FA2BB5" w:rsidRDefault="00CA685E" w:rsidP="00FA2BB5">
            <w:pPr>
              <w:pStyle w:val="NoSpacing"/>
              <w:spacing w:line="240" w:lineRule="auto"/>
              <w:jc w:val="center"/>
              <w:rPr>
                <w:rFonts w:cs="Calibri"/>
                <w:b/>
                <w:bCs/>
                <w:color w:val="FFFFFF" w:themeColor="background1"/>
                <w:sz w:val="24"/>
                <w:szCs w:val="24"/>
              </w:rPr>
            </w:pPr>
            <w:r w:rsidRPr="00FA2BB5">
              <w:rPr>
                <w:rFonts w:ascii="Calibri" w:eastAsia="Calibri" w:hAnsi="Calibri" w:cs="Calibri"/>
                <w:b/>
                <w:bCs/>
                <w:color w:val="FFFFFF" w:themeColor="background1"/>
                <w:kern w:val="0"/>
                <w:sz w:val="24"/>
                <w:szCs w:val="24"/>
                <w14:ligatures w14:val="none"/>
              </w:rPr>
              <w:t>Personal and membership data</w:t>
            </w:r>
          </w:p>
        </w:tc>
        <w:tc>
          <w:tcPr>
            <w:tcW w:w="2422" w:type="dxa"/>
            <w:tcBorders>
              <w:left w:val="nil"/>
              <w:bottom w:val="single" w:sz="4" w:space="0" w:color="auto"/>
              <w:right w:val="nil"/>
            </w:tcBorders>
            <w:shd w:val="clear" w:color="auto" w:fill="77206D" w:themeFill="accent5" w:themeFillShade="BF"/>
          </w:tcPr>
          <w:p w14:paraId="15C04B0D" w14:textId="77777777" w:rsidR="00B43D94" w:rsidRPr="00FA2BB5" w:rsidRDefault="00B43D94" w:rsidP="00FA2BB5">
            <w:pPr>
              <w:pStyle w:val="NoSpacing"/>
              <w:spacing w:line="240" w:lineRule="auto"/>
              <w:rPr>
                <w:rFonts w:cs="Calibri"/>
                <w:color w:val="FFFFFF" w:themeColor="background1"/>
                <w:sz w:val="20"/>
                <w:szCs w:val="20"/>
              </w:rPr>
            </w:pPr>
          </w:p>
        </w:tc>
        <w:tc>
          <w:tcPr>
            <w:tcW w:w="2552" w:type="dxa"/>
            <w:tcBorders>
              <w:left w:val="nil"/>
              <w:bottom w:val="single" w:sz="4" w:space="0" w:color="auto"/>
              <w:right w:val="nil"/>
            </w:tcBorders>
            <w:shd w:val="clear" w:color="auto" w:fill="77206D" w:themeFill="accent5" w:themeFillShade="BF"/>
          </w:tcPr>
          <w:p w14:paraId="0D0BDE75" w14:textId="77777777" w:rsidR="00B43D94" w:rsidRPr="00FA2BB5" w:rsidRDefault="00B43D94" w:rsidP="00FA2BB5">
            <w:pPr>
              <w:pStyle w:val="NoSpacing"/>
              <w:spacing w:line="240" w:lineRule="auto"/>
              <w:rPr>
                <w:rFonts w:cs="Calibri"/>
                <w:color w:val="FFFFFF" w:themeColor="background1"/>
                <w:sz w:val="20"/>
                <w:szCs w:val="20"/>
              </w:rPr>
            </w:pPr>
          </w:p>
        </w:tc>
        <w:tc>
          <w:tcPr>
            <w:tcW w:w="2519" w:type="dxa"/>
            <w:tcBorders>
              <w:left w:val="nil"/>
              <w:bottom w:val="single" w:sz="4" w:space="0" w:color="auto"/>
            </w:tcBorders>
            <w:shd w:val="clear" w:color="auto" w:fill="77206D" w:themeFill="accent5" w:themeFillShade="BF"/>
          </w:tcPr>
          <w:p w14:paraId="1B61F2D7" w14:textId="77777777" w:rsidR="00B43D94" w:rsidRPr="00FA2BB5" w:rsidRDefault="00B43D94" w:rsidP="00FA2BB5">
            <w:pPr>
              <w:pStyle w:val="NoSpacing"/>
              <w:spacing w:line="240" w:lineRule="auto"/>
              <w:rPr>
                <w:rFonts w:cs="Calibri"/>
                <w:color w:val="FFFFFF" w:themeColor="background1"/>
                <w:sz w:val="20"/>
                <w:szCs w:val="20"/>
              </w:rPr>
            </w:pPr>
          </w:p>
        </w:tc>
      </w:tr>
      <w:tr w:rsidR="00EA4886" w14:paraId="51424B7E" w14:textId="77777777" w:rsidTr="00FA2BB5">
        <w:tc>
          <w:tcPr>
            <w:tcW w:w="2135" w:type="dxa"/>
            <w:tcBorders>
              <w:top w:val="single" w:sz="4" w:space="0" w:color="auto"/>
              <w:left w:val="nil"/>
              <w:bottom w:val="nil"/>
              <w:right w:val="single" w:sz="4" w:space="0" w:color="auto"/>
            </w:tcBorders>
          </w:tcPr>
          <w:p w14:paraId="6ED6F5E5"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top w:val="single" w:sz="4" w:space="0" w:color="auto"/>
              <w:left w:val="single" w:sz="4" w:space="0" w:color="auto"/>
            </w:tcBorders>
          </w:tcPr>
          <w:p w14:paraId="47A45325"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Church membership records</w:t>
            </w:r>
          </w:p>
        </w:tc>
        <w:tc>
          <w:tcPr>
            <w:tcW w:w="2552" w:type="dxa"/>
            <w:tcBorders>
              <w:top w:val="single" w:sz="4" w:space="0" w:color="auto"/>
            </w:tcBorders>
          </w:tcPr>
          <w:p w14:paraId="06167D26"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For CIOs record may be deleted 10 years after an individual’s membership ceases</w:t>
            </w:r>
          </w:p>
        </w:tc>
        <w:tc>
          <w:tcPr>
            <w:tcW w:w="2519" w:type="dxa"/>
            <w:tcBorders>
              <w:top w:val="single" w:sz="4" w:space="0" w:color="auto"/>
            </w:tcBorders>
          </w:tcPr>
          <w:p w14:paraId="27CBD1F4"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The Charitable Incorporated Organisations (General) Regulations 2012</w:t>
            </w:r>
          </w:p>
        </w:tc>
      </w:tr>
      <w:tr w:rsidR="00EA4886" w14:paraId="2EFBDEBD" w14:textId="77777777" w:rsidTr="00FA2BB5">
        <w:tc>
          <w:tcPr>
            <w:tcW w:w="2135" w:type="dxa"/>
            <w:tcBorders>
              <w:top w:val="nil"/>
              <w:left w:val="nil"/>
              <w:bottom w:val="nil"/>
              <w:right w:val="single" w:sz="4" w:space="0" w:color="auto"/>
            </w:tcBorders>
          </w:tcPr>
          <w:p w14:paraId="7756F00B" w14:textId="77777777" w:rsidR="00EA4886" w:rsidRPr="00854D15" w:rsidRDefault="00EA4886" w:rsidP="00854D15">
            <w:pPr>
              <w:pStyle w:val="NoSpacing"/>
              <w:autoSpaceDN w:val="0"/>
              <w:jc w:val="center"/>
              <w:rPr>
                <w:rFonts w:ascii="Calibri" w:eastAsia="Calibri" w:hAnsi="Calibri" w:cs="Calibri"/>
                <w:b/>
                <w:bCs/>
                <w:kern w:val="0"/>
                <w:sz w:val="24"/>
                <w:szCs w:val="24"/>
                <w14:ligatures w14:val="none"/>
              </w:rPr>
            </w:pPr>
          </w:p>
        </w:tc>
        <w:tc>
          <w:tcPr>
            <w:tcW w:w="2422" w:type="dxa"/>
            <w:tcBorders>
              <w:left w:val="single" w:sz="4" w:space="0" w:color="auto"/>
            </w:tcBorders>
          </w:tcPr>
          <w:p w14:paraId="5D43DCF1"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Contact details for members and regular attenders</w:t>
            </w:r>
          </w:p>
        </w:tc>
        <w:tc>
          <w:tcPr>
            <w:tcW w:w="2552" w:type="dxa"/>
          </w:tcPr>
          <w:p w14:paraId="0F7FE8A3" w14:textId="77777777" w:rsidR="00EA4886" w:rsidRPr="00854D15" w:rsidRDefault="00EA4886" w:rsidP="00EA4886">
            <w:pPr>
              <w:pStyle w:val="NoSpacing"/>
              <w:autoSpaceDN w:val="0"/>
              <w:rPr>
                <w:rFonts w:ascii="Calibri" w:eastAsia="Calibri" w:hAnsi="Calibri" w:cs="Calibri"/>
                <w:kern w:val="0"/>
                <w:sz w:val="20"/>
                <w:szCs w:val="20"/>
                <w14:ligatures w14:val="none"/>
              </w:rPr>
            </w:pPr>
            <w:r w:rsidRPr="00854D15">
              <w:rPr>
                <w:rFonts w:ascii="Calibri" w:eastAsia="Calibri" w:hAnsi="Calibri" w:cs="Calibri"/>
                <w:kern w:val="0"/>
                <w:sz w:val="20"/>
                <w:szCs w:val="20"/>
                <w14:ligatures w14:val="none"/>
              </w:rPr>
              <w:t xml:space="preserve">1 year after individual ceases to be a member or stops attending, unless they </w:t>
            </w:r>
            <w:r w:rsidRPr="00854D15">
              <w:rPr>
                <w:rFonts w:ascii="Calibri" w:eastAsia="Calibri" w:hAnsi="Calibri" w:cs="Calibri"/>
                <w:kern w:val="0"/>
                <w:sz w:val="20"/>
                <w:szCs w:val="20"/>
                <w14:ligatures w14:val="none"/>
              </w:rPr>
              <w:lastRenderedPageBreak/>
              <w:t>give specific consent for ongoing contact</w:t>
            </w:r>
          </w:p>
        </w:tc>
        <w:tc>
          <w:tcPr>
            <w:tcW w:w="2519" w:type="dxa"/>
          </w:tcPr>
          <w:p w14:paraId="390C7BF3" w14:textId="77777777" w:rsidR="00EA4886" w:rsidRPr="00854D15" w:rsidRDefault="00EA4886" w:rsidP="00EA4886">
            <w:pPr>
              <w:pStyle w:val="NoSpacing"/>
              <w:autoSpaceDN w:val="0"/>
              <w:rPr>
                <w:rFonts w:ascii="Calibri" w:eastAsia="Calibri" w:hAnsi="Calibri" w:cs="Calibri"/>
                <w:kern w:val="0"/>
                <w:sz w:val="20"/>
                <w:szCs w:val="20"/>
                <w14:ligatures w14:val="none"/>
              </w:rPr>
            </w:pPr>
          </w:p>
        </w:tc>
      </w:tr>
    </w:tbl>
    <w:p w14:paraId="6D3107B5" w14:textId="77777777" w:rsidR="00C35CA5" w:rsidRDefault="00C35CA5">
      <w:pPr>
        <w:spacing w:after="160" w:line="254" w:lineRule="auto"/>
      </w:pPr>
    </w:p>
    <w:sectPr w:rsidR="00C35CA5">
      <w:footerReference w:type="default" r:id="rId7"/>
      <w:pgSz w:w="11906" w:h="16838"/>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721DA" w14:textId="77777777" w:rsidR="00362B24" w:rsidRDefault="00362B24">
      <w:pPr>
        <w:spacing w:after="0" w:line="240" w:lineRule="auto"/>
      </w:pPr>
      <w:r>
        <w:separator/>
      </w:r>
    </w:p>
  </w:endnote>
  <w:endnote w:type="continuationSeparator" w:id="0">
    <w:p w14:paraId="5CC278B6" w14:textId="77777777" w:rsidR="00362B24" w:rsidRDefault="0036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E0E1" w14:textId="77777777" w:rsidR="00000000" w:rsidRDefault="00000000">
    <w:pPr>
      <w:pStyle w:val="Footer"/>
      <w:jc w:val="center"/>
    </w:pPr>
    <w:r>
      <w:rPr>
        <w:color w:val="800080"/>
      </w:rPr>
      <w:t xml:space="preserve">Page </w:t>
    </w:r>
    <w:r>
      <w:rPr>
        <w:bCs/>
        <w:color w:val="800080"/>
      </w:rPr>
      <w:fldChar w:fldCharType="begin"/>
    </w:r>
    <w:r>
      <w:rPr>
        <w:bCs/>
        <w:color w:val="800080"/>
      </w:rPr>
      <w:instrText xml:space="preserve"> PAGE </w:instrText>
    </w:r>
    <w:r>
      <w:rPr>
        <w:bCs/>
        <w:color w:val="800080"/>
      </w:rPr>
      <w:fldChar w:fldCharType="separate"/>
    </w:r>
    <w:r>
      <w:rPr>
        <w:bCs/>
        <w:color w:val="800080"/>
      </w:rPr>
      <w:t>2</w:t>
    </w:r>
    <w:r>
      <w:rPr>
        <w:bCs/>
        <w:color w:val="800080"/>
      </w:rPr>
      <w:fldChar w:fldCharType="end"/>
    </w:r>
    <w:r>
      <w:rPr>
        <w:color w:val="800080"/>
      </w:rPr>
      <w:t xml:space="preserve"> of </w:t>
    </w:r>
    <w:r>
      <w:rPr>
        <w:bCs/>
        <w:color w:val="800080"/>
      </w:rPr>
      <w:fldChar w:fldCharType="begin"/>
    </w:r>
    <w:r>
      <w:rPr>
        <w:bCs/>
        <w:color w:val="800080"/>
      </w:rPr>
      <w:instrText xml:space="preserve"> NUMPAGES </w:instrText>
    </w:r>
    <w:r>
      <w:rPr>
        <w:bCs/>
        <w:color w:val="800080"/>
      </w:rPr>
      <w:fldChar w:fldCharType="separate"/>
    </w:r>
    <w:r>
      <w:rPr>
        <w:bCs/>
        <w:color w:val="800080"/>
      </w:rPr>
      <w:t>2</w:t>
    </w:r>
    <w:r>
      <w:rPr>
        <w:bCs/>
        <w:color w:val="800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9AB89" w14:textId="77777777" w:rsidR="00362B24" w:rsidRDefault="00362B24">
      <w:pPr>
        <w:spacing w:after="0" w:line="240" w:lineRule="auto"/>
      </w:pPr>
      <w:r>
        <w:rPr>
          <w:color w:val="000000"/>
        </w:rPr>
        <w:separator/>
      </w:r>
    </w:p>
  </w:footnote>
  <w:footnote w:type="continuationSeparator" w:id="0">
    <w:p w14:paraId="168884B6" w14:textId="77777777" w:rsidR="00362B24" w:rsidRDefault="00362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D6924"/>
    <w:multiLevelType w:val="multilevel"/>
    <w:tmpl w:val="BA527D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F702840"/>
    <w:multiLevelType w:val="multilevel"/>
    <w:tmpl w:val="D4229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37A192A"/>
    <w:multiLevelType w:val="hybridMultilevel"/>
    <w:tmpl w:val="0A28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241CDC"/>
    <w:multiLevelType w:val="multilevel"/>
    <w:tmpl w:val="A4AE37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7EB47EB"/>
    <w:multiLevelType w:val="multilevel"/>
    <w:tmpl w:val="A042B1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A6D7C89"/>
    <w:multiLevelType w:val="multilevel"/>
    <w:tmpl w:val="B3F65F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240D52"/>
    <w:multiLevelType w:val="multilevel"/>
    <w:tmpl w:val="818C36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8787198">
    <w:abstractNumId w:val="3"/>
  </w:num>
  <w:num w:numId="2" w16cid:durableId="901017982">
    <w:abstractNumId w:val="0"/>
  </w:num>
  <w:num w:numId="3" w16cid:durableId="1490318998">
    <w:abstractNumId w:val="4"/>
  </w:num>
  <w:num w:numId="4" w16cid:durableId="1606040468">
    <w:abstractNumId w:val="1"/>
  </w:num>
  <w:num w:numId="5" w16cid:durableId="704141970">
    <w:abstractNumId w:val="6"/>
  </w:num>
  <w:num w:numId="6" w16cid:durableId="1828208309">
    <w:abstractNumId w:val="5"/>
  </w:num>
  <w:num w:numId="7" w16cid:durableId="1831360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35CA5"/>
    <w:rsid w:val="00151419"/>
    <w:rsid w:val="001A5B1A"/>
    <w:rsid w:val="00240E76"/>
    <w:rsid w:val="00362B24"/>
    <w:rsid w:val="00376272"/>
    <w:rsid w:val="006217AF"/>
    <w:rsid w:val="00664833"/>
    <w:rsid w:val="006E5FD4"/>
    <w:rsid w:val="00780E56"/>
    <w:rsid w:val="008271C0"/>
    <w:rsid w:val="00854D15"/>
    <w:rsid w:val="00877C2E"/>
    <w:rsid w:val="0088045F"/>
    <w:rsid w:val="008F71E9"/>
    <w:rsid w:val="00935091"/>
    <w:rsid w:val="009D4F17"/>
    <w:rsid w:val="00A624F8"/>
    <w:rsid w:val="00AB09A3"/>
    <w:rsid w:val="00B1505C"/>
    <w:rsid w:val="00B177C3"/>
    <w:rsid w:val="00B43D94"/>
    <w:rsid w:val="00C35CA5"/>
    <w:rsid w:val="00CA685E"/>
    <w:rsid w:val="00CB291C"/>
    <w:rsid w:val="00CF52C1"/>
    <w:rsid w:val="00D6209B"/>
    <w:rsid w:val="00E12DCD"/>
    <w:rsid w:val="00E44E0D"/>
    <w:rsid w:val="00EA4886"/>
    <w:rsid w:val="00EC21AE"/>
    <w:rsid w:val="00FA2BB5"/>
    <w:rsid w:val="00FC2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C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20" w:line="276" w:lineRule="auto"/>
    </w:pPr>
  </w:style>
  <w:style w:type="paragraph" w:styleId="Heading1">
    <w:name w:val="heading 1"/>
    <w:basedOn w:val="Normal"/>
    <w:next w:val="Normal"/>
    <w:uiPriority w:val="9"/>
    <w:qFormat/>
    <w:pPr>
      <w:keepNext/>
      <w:keepLines/>
      <w:spacing w:before="220" w:line="192" w:lineRule="auto"/>
      <w:jc w:val="center"/>
      <w:outlineLvl w:val="0"/>
    </w:pPr>
    <w:rPr>
      <w:rFonts w:ascii="Calibri Light" w:eastAsia="Times New Roman" w:hAnsi="Calibri Light"/>
      <w:color w:val="800080"/>
      <w:sz w:val="96"/>
      <w:szCs w:val="32"/>
    </w:rPr>
  </w:style>
  <w:style w:type="paragraph" w:styleId="Heading2">
    <w:name w:val="heading 2"/>
    <w:basedOn w:val="Normal"/>
    <w:next w:val="Normal"/>
    <w:uiPriority w:val="9"/>
    <w:unhideWhenUsed/>
    <w:qFormat/>
    <w:pPr>
      <w:keepNext/>
      <w:keepLines/>
      <w:spacing w:before="840" w:line="240" w:lineRule="auto"/>
      <w:ind w:left="1134" w:right="1134"/>
      <w:jc w:val="center"/>
      <w:outlineLvl w:val="1"/>
    </w:pPr>
    <w:rPr>
      <w:rFonts w:eastAsia="Times New Roman"/>
      <w:b/>
      <w:color w:val="800080"/>
      <w:sz w:val="40"/>
      <w:szCs w:val="26"/>
    </w:rPr>
  </w:style>
  <w:style w:type="paragraph" w:styleId="Heading3">
    <w:name w:val="heading 3"/>
    <w:basedOn w:val="Normal"/>
    <w:next w:val="Normal"/>
    <w:uiPriority w:val="9"/>
    <w:semiHidden/>
    <w:unhideWhenUsed/>
    <w:qFormat/>
    <w:pPr>
      <w:keepNext/>
      <w:pBdr>
        <w:top w:val="single" w:sz="8" w:space="1" w:color="800080"/>
      </w:pBdr>
      <w:spacing w:before="480"/>
      <w:outlineLvl w:val="2"/>
    </w:pPr>
    <w:rPr>
      <w:b/>
      <w:bCs/>
      <w:color w:val="800080"/>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libri Light" w:eastAsia="Times New Roman" w:hAnsi="Calibri Light"/>
      <w:i/>
      <w:i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800080"/>
      <w:sz w:val="96"/>
      <w:szCs w:val="32"/>
    </w:rPr>
  </w:style>
  <w:style w:type="character" w:customStyle="1" w:styleId="Heading2Char">
    <w:name w:val="Heading 2 Char"/>
    <w:basedOn w:val="DefaultParagraphFont"/>
    <w:rPr>
      <w:rFonts w:eastAsia="Times New Roman" w:cs="Times New Roman"/>
      <w:b/>
      <w:color w:val="800080"/>
      <w:sz w:val="40"/>
      <w:szCs w:val="26"/>
    </w:rPr>
  </w:style>
  <w:style w:type="paragraph" w:styleId="Header">
    <w:name w:val="header"/>
    <w:basedOn w:val="Normal"/>
    <w:pPr>
      <w:tabs>
        <w:tab w:val="center" w:pos="4680"/>
        <w:tab w:val="right" w:pos="9360"/>
      </w:tabs>
      <w:spacing w:after="0" w:line="240" w:lineRule="auto"/>
    </w:pPr>
    <w:rPr>
      <w:rFonts w:eastAsia="Times New Roman"/>
      <w:lang w:val="en-US"/>
    </w:rPr>
  </w:style>
  <w:style w:type="character" w:customStyle="1" w:styleId="HeaderChar">
    <w:name w:val="Header Char"/>
    <w:basedOn w:val="DefaultParagraphFont"/>
    <w:rPr>
      <w:rFonts w:eastAsia="Times New Roman" w:cs="Times New Roman"/>
      <w:lang w:val="en-US"/>
    </w:rPr>
  </w:style>
  <w:style w:type="character" w:styleId="PlaceholderText">
    <w:name w:val="Placeholder Text"/>
    <w:basedOn w:val="DefaultParagraphFont"/>
    <w:rPr>
      <w:color w:val="808080"/>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Spacing">
    <w:name w:val="No Spacing"/>
    <w:pPr>
      <w:suppressAutoHyphens/>
      <w:spacing w:after="0" w:line="276" w:lineRule="auto"/>
    </w:pPr>
  </w:style>
  <w:style w:type="paragraph" w:styleId="ListParagraph">
    <w:name w:val="List Paragraph"/>
    <w:basedOn w:val="Normal"/>
    <w:uiPriority w:val="34"/>
    <w:qFormat/>
    <w:pPr>
      <w:ind w:left="720"/>
      <w:contextualSpacing/>
    </w:pPr>
  </w:style>
  <w:style w:type="paragraph" w:styleId="TOC2">
    <w:name w:val="toc 2"/>
    <w:basedOn w:val="Normal"/>
    <w:next w:val="Normal"/>
    <w:autoRedefine/>
    <w:pPr>
      <w:tabs>
        <w:tab w:val="right" w:leader="dot" w:pos="9628"/>
      </w:tabs>
      <w:spacing w:after="100"/>
      <w:ind w:left="720"/>
    </w:pPr>
  </w:style>
  <w:style w:type="paragraph" w:styleId="TOC1">
    <w:name w:val="toc 1"/>
    <w:basedOn w:val="Normal"/>
    <w:next w:val="Normal"/>
    <w:autoRedefine/>
    <w:pPr>
      <w:tabs>
        <w:tab w:val="right" w:leader="dot" w:pos="9628"/>
      </w:tabs>
      <w:spacing w:after="100"/>
    </w:pPr>
    <w:rPr>
      <w:b/>
    </w:rPr>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customStyle="1" w:styleId="Heading2notincontents">
    <w:name w:val="Heading 2 (not in contents)"/>
    <w:basedOn w:val="Heading2"/>
    <w:next w:val="Normal"/>
    <w:autoRedefine/>
    <w:pPr>
      <w:spacing w:before="0"/>
    </w:pPr>
  </w:style>
  <w:style w:type="paragraph" w:styleId="Footer">
    <w:name w:val="footer"/>
    <w:basedOn w:val="Normal"/>
    <w:pPr>
      <w:tabs>
        <w:tab w:val="center" w:pos="4513"/>
        <w:tab w:val="right" w:pos="9026"/>
      </w:tabs>
      <w:spacing w:after="0" w:line="240" w:lineRule="auto"/>
    </w:pPr>
    <w:rPr>
      <w:b/>
      <w:caps/>
      <w:color w:val="2F5496"/>
      <w:sz w:val="18"/>
    </w:rPr>
  </w:style>
  <w:style w:type="character" w:customStyle="1" w:styleId="Heading2notincontentsChar">
    <w:name w:val="Heading 2 (not in contents) Char"/>
    <w:basedOn w:val="Heading2Char"/>
    <w:rPr>
      <w:rFonts w:eastAsia="Times New Roman" w:cs="Times New Roman"/>
      <w:b/>
      <w:color w:val="2F5496"/>
      <w:sz w:val="40"/>
      <w:szCs w:val="26"/>
    </w:rPr>
  </w:style>
  <w:style w:type="character" w:customStyle="1" w:styleId="FooterChar">
    <w:name w:val="Footer Char"/>
    <w:basedOn w:val="DefaultParagraphFont"/>
    <w:rPr>
      <w:b/>
      <w:caps/>
      <w:color w:val="2F5496"/>
      <w:sz w:val="18"/>
    </w:rPr>
  </w:style>
  <w:style w:type="paragraph" w:customStyle="1" w:styleId="Heading1notincontents">
    <w:name w:val="Heading 1 (not in contents)"/>
    <w:basedOn w:val="Heading1"/>
    <w:next w:val="Normal"/>
    <w:autoRedefine/>
    <w:rsid w:val="00240E76"/>
    <w:pPr>
      <w:spacing w:before="0" w:after="360"/>
      <w:outlineLvl w:val="9"/>
    </w:pPr>
  </w:style>
  <w:style w:type="character" w:customStyle="1" w:styleId="Heading3Char">
    <w:name w:val="Heading 3 Char"/>
    <w:basedOn w:val="DefaultParagraphFont"/>
    <w:rPr>
      <w:b/>
      <w:bCs/>
      <w:color w:val="800080"/>
      <w:sz w:val="28"/>
      <w:szCs w:val="28"/>
    </w:rPr>
  </w:style>
  <w:style w:type="character" w:customStyle="1" w:styleId="Heading1notincontentsChar">
    <w:name w:val="Heading 1 (not in contents) Char"/>
    <w:basedOn w:val="Heading1Char"/>
    <w:rPr>
      <w:rFonts w:ascii="Calibri Light" w:eastAsia="Times New Roman" w:hAnsi="Calibri Light" w:cs="Times New Roman"/>
      <w:color w:val="2F5496"/>
      <w:sz w:val="96"/>
      <w:szCs w:val="32"/>
    </w:rPr>
  </w:style>
  <w:style w:type="character" w:customStyle="1" w:styleId="Heading4Char">
    <w:name w:val="Heading 4 Char"/>
    <w:basedOn w:val="DefaultParagraphFont"/>
    <w:rPr>
      <w:rFonts w:ascii="Calibri Light" w:eastAsia="Times New Roman" w:hAnsi="Calibri Light" w:cs="Times New Roman"/>
      <w:i/>
      <w:iCs/>
      <w:color w:val="80008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table" w:styleId="TableGrid">
    <w:name w:val="Table Grid"/>
    <w:basedOn w:val="TableNormal"/>
    <w:uiPriority w:val="39"/>
    <w:rsid w:val="00EA4886"/>
    <w:pPr>
      <w:autoSpaceDN/>
      <w:spacing w:after="0" w:line="240" w:lineRule="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2024-08-08T14:54:00Z</dcterms:created>
  <dcterms:modified xsi:type="dcterms:W3CDTF">2024-08-08T14:55:00Z</dcterms:modified>
</cp:coreProperties>
</file>